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word/header1.xml" ContentType="application/vnd.openxmlformats-officedocument.wordprocessingml.header+xml"/>
  <Override PartName="/word/theme/theme1.xml" ContentType="application/vnd.openxmlformats-officedocument.theme+xml"/>
  <Override PartName="/word/fontTable.xml" ContentType="application/vnd.openxmlformats-officedocument.wordprocessingml.fontTable+xml"/>
  <Override PartName="/word/endnotes.xml" ContentType="application/vnd.openxmlformats-officedocument.wordprocessingml.endnotes+xml"/>
  <Override PartName="/word/numbering.xml" ContentType="application/vnd.openxmlformats-officedocument.wordprocessingml.numbering+xml"/>
  <Override PartName="/word/webSettings.xml" ContentType="application/vnd.openxmlformats-officedocument.wordprocessingml.webSettings+xml"/>
  <Override PartName="/docProps/app.xml" ContentType="application/vnd.openxmlformats-officedocument.extended-properties+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document.xml" ContentType="application/vnd.openxmlformats-officedocument.wordprocessingml.document.main+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p>
      <w:pPr>
        <w:pStyle w:val="934"/>
        <w:jc w:val="center"/>
        <w:keepNext/>
        <w:spacing w:before="240" w:after="60" w:line="276" w:lineRule="auto"/>
        <w:rPr>
          <w:b/>
          <w:bCs/>
          <w:iCs/>
          <w:sz w:val="32"/>
          <w:szCs w:val="32"/>
        </w:rPr>
        <w:outlineLvl w:val="1"/>
      </w:pPr>
      <w:r>
        <w:rPr>
          <w:b/>
          <w:bCs/>
          <w:iCs/>
          <w:sz w:val="32"/>
          <w:szCs w:val="32"/>
        </w:rPr>
        <w:t xml:space="preserve">Предварительные итоги социально-экономического</w:t>
      </w:r>
      <w:r>
        <w:rPr>
          <w:b/>
          <w:bCs/>
          <w:iCs/>
          <w:sz w:val="32"/>
          <w:szCs w:val="32"/>
        </w:rPr>
      </w:r>
      <w:r>
        <w:rPr>
          <w:b/>
          <w:bCs/>
          <w:iCs/>
          <w:sz w:val="32"/>
          <w:szCs w:val="32"/>
        </w:rPr>
      </w:r>
    </w:p>
    <w:p>
      <w:pPr>
        <w:pStyle w:val="934"/>
        <w:jc w:val="center"/>
        <w:spacing w:line="276" w:lineRule="auto"/>
        <w:rPr>
          <w:b/>
          <w:bCs/>
          <w:iCs/>
          <w:sz w:val="32"/>
          <w:szCs w:val="32"/>
        </w:rPr>
        <w:outlineLvl w:val="0"/>
      </w:pPr>
      <w:r>
        <w:rPr>
          <w:b/>
          <w:sz w:val="32"/>
          <w:szCs w:val="32"/>
        </w:rPr>
        <w:t xml:space="preserve">развития Белоярского района </w:t>
      </w:r>
      <w:r>
        <w:rPr>
          <w:b/>
          <w:bCs/>
          <w:iCs/>
          <w:sz w:val="32"/>
          <w:szCs w:val="32"/>
        </w:rPr>
        <w:t xml:space="preserve">за 2024 год</w:t>
      </w:r>
      <w:r>
        <w:rPr>
          <w:b/>
          <w:bCs/>
          <w:iCs/>
          <w:sz w:val="32"/>
          <w:szCs w:val="32"/>
        </w:rPr>
      </w:r>
      <w:r>
        <w:rPr>
          <w:b/>
          <w:bCs/>
          <w:iCs/>
          <w:sz w:val="32"/>
          <w:szCs w:val="32"/>
        </w:rPr>
      </w:r>
    </w:p>
    <w:p>
      <w:pPr>
        <w:pStyle w:val="934"/>
        <w:spacing w:line="276" w:lineRule="auto"/>
        <w:rPr>
          <w:b/>
          <w:sz w:val="28"/>
          <w:szCs w:val="28"/>
        </w:rPr>
        <w:outlineLvl w:val="0"/>
      </w:pPr>
      <w:r>
        <w:rPr>
          <w:b/>
          <w:sz w:val="28"/>
          <w:szCs w:val="28"/>
        </w:rPr>
      </w:r>
      <w:r>
        <w:rPr>
          <w:b/>
          <w:sz w:val="28"/>
          <w:szCs w:val="28"/>
        </w:rPr>
      </w:r>
      <w:r>
        <w:rPr>
          <w:b/>
          <w:sz w:val="28"/>
          <w:szCs w:val="28"/>
        </w:rPr>
      </w:r>
    </w:p>
    <w:p>
      <w:pPr>
        <w:pStyle w:val="934"/>
        <w:ind w:left="360"/>
        <w:jc w:val="center"/>
        <w:spacing w:line="276" w:lineRule="auto"/>
        <w:rPr>
          <w:b/>
          <w:sz w:val="24"/>
          <w:szCs w:val="24"/>
        </w:rPr>
        <w:outlineLvl w:val="0"/>
      </w:pPr>
      <w:r>
        <w:rPr>
          <w:b/>
          <w:sz w:val="24"/>
          <w:szCs w:val="24"/>
        </w:rPr>
        <w:t xml:space="preserve">1. ДЕМОГРАФИЧЕСКИЕ ПОКАЗАТЕЛИ</w:t>
      </w:r>
      <w:r>
        <w:rPr>
          <w:b/>
          <w:sz w:val="24"/>
          <w:szCs w:val="24"/>
        </w:rPr>
      </w:r>
      <w:r>
        <w:rPr>
          <w:b/>
          <w:sz w:val="24"/>
          <w:szCs w:val="24"/>
        </w:rPr>
      </w:r>
    </w:p>
    <w:p>
      <w:pPr>
        <w:pStyle w:val="959"/>
        <w:jc w:val="both"/>
        <w:spacing w:line="276" w:lineRule="auto"/>
        <w:rPr>
          <w:b w:val="0"/>
          <w:color w:val="ff0000"/>
          <w:sz w:val="24"/>
          <w:szCs w:val="24"/>
        </w:rPr>
      </w:pPr>
      <w:r>
        <w:rPr>
          <w:b w:val="0"/>
          <w:color w:val="ff0000"/>
          <w:sz w:val="24"/>
          <w:szCs w:val="24"/>
        </w:rPr>
      </w:r>
      <w:r>
        <w:rPr>
          <w:b w:val="0"/>
          <w:color w:val="ff0000"/>
          <w:sz w:val="24"/>
          <w:szCs w:val="24"/>
        </w:rPr>
      </w:r>
      <w:r>
        <w:rPr>
          <w:b w:val="0"/>
          <w:color w:val="ff0000"/>
          <w:sz w:val="24"/>
          <w:szCs w:val="24"/>
        </w:rPr>
      </w:r>
    </w:p>
    <w:p>
      <w:pPr>
        <w:pStyle w:val="959"/>
        <w:ind w:firstLine="709"/>
        <w:jc w:val="both"/>
        <w:spacing w:line="276" w:lineRule="auto"/>
        <w:rPr>
          <w:b w:val="0"/>
          <w:sz w:val="24"/>
          <w:szCs w:val="24"/>
        </w:rPr>
      </w:pPr>
      <w:r>
        <w:rPr>
          <w:b w:val="0"/>
          <w:sz w:val="24"/>
          <w:szCs w:val="24"/>
        </w:rPr>
        <w:t xml:space="preserve">По </w:t>
      </w:r>
      <w:r>
        <w:rPr>
          <w:b w:val="0"/>
          <w:sz w:val="24"/>
          <w:szCs w:val="24"/>
        </w:rPr>
        <w:t xml:space="preserve">предварительным</w:t>
      </w:r>
      <w:r>
        <w:rPr>
          <w:b w:val="0"/>
          <w:sz w:val="24"/>
          <w:szCs w:val="24"/>
        </w:rPr>
        <w:t xml:space="preserve"> данным ч</w:t>
      </w:r>
      <w:r>
        <w:rPr>
          <w:b w:val="0"/>
          <w:sz w:val="24"/>
          <w:szCs w:val="24"/>
        </w:rPr>
        <w:t xml:space="preserve">исленность </w:t>
      </w:r>
      <w:r>
        <w:rPr>
          <w:b w:val="0"/>
          <w:sz w:val="24"/>
          <w:szCs w:val="24"/>
        </w:rPr>
        <w:t xml:space="preserve">населения Белоярского района </w:t>
      </w:r>
      <w:r>
        <w:rPr>
          <w:b w:val="0"/>
          <w:sz w:val="24"/>
          <w:szCs w:val="24"/>
        </w:rPr>
        <w:t xml:space="preserve">по состоянию на 1 </w:t>
      </w:r>
      <w:r>
        <w:rPr>
          <w:b w:val="0"/>
          <w:sz w:val="24"/>
          <w:szCs w:val="24"/>
        </w:rPr>
        <w:t xml:space="preserve">января</w:t>
      </w:r>
      <w:r>
        <w:rPr>
          <w:b w:val="0"/>
          <w:sz w:val="24"/>
          <w:szCs w:val="24"/>
        </w:rPr>
        <w:t xml:space="preserve"> </w:t>
      </w:r>
      <w:r>
        <w:rPr>
          <w:b w:val="0"/>
          <w:sz w:val="24"/>
          <w:szCs w:val="24"/>
        </w:rPr>
        <w:t xml:space="preserve">20</w:t>
      </w:r>
      <w:r>
        <w:rPr>
          <w:b w:val="0"/>
          <w:sz w:val="24"/>
          <w:szCs w:val="24"/>
        </w:rPr>
        <w:t xml:space="preserve">25</w:t>
      </w:r>
      <w:r>
        <w:rPr>
          <w:b w:val="0"/>
          <w:sz w:val="24"/>
          <w:szCs w:val="24"/>
        </w:rPr>
        <w:t xml:space="preserve"> года</w:t>
      </w:r>
      <w:r>
        <w:rPr>
          <w:b w:val="0"/>
          <w:sz w:val="24"/>
          <w:szCs w:val="24"/>
        </w:rPr>
        <w:t xml:space="preserve"> составила </w:t>
      </w:r>
      <w:r>
        <w:rPr>
          <w:b w:val="0"/>
          <w:sz w:val="24"/>
          <w:szCs w:val="24"/>
        </w:rPr>
        <w:t xml:space="preserve">28 </w:t>
      </w:r>
      <w:r>
        <w:rPr>
          <w:b w:val="0"/>
          <w:sz w:val="24"/>
          <w:szCs w:val="24"/>
        </w:rPr>
        <w:t xml:space="preserve">356</w:t>
      </w:r>
      <w:r>
        <w:rPr>
          <w:b w:val="0"/>
          <w:sz w:val="24"/>
          <w:szCs w:val="24"/>
        </w:rPr>
        <w:t xml:space="preserve"> челове</w:t>
      </w:r>
      <w:r>
        <w:rPr>
          <w:b w:val="0"/>
          <w:sz w:val="24"/>
          <w:szCs w:val="24"/>
        </w:rPr>
        <w:t xml:space="preserve">к</w:t>
      </w:r>
      <w:r>
        <w:rPr>
          <w:b w:val="0"/>
          <w:sz w:val="24"/>
          <w:szCs w:val="24"/>
        </w:rPr>
        <w:t xml:space="preserve">.</w:t>
      </w:r>
      <w:r>
        <w:rPr>
          <w:b w:val="0"/>
          <w:sz w:val="24"/>
          <w:szCs w:val="24"/>
        </w:rPr>
        <w:t xml:space="preserve"> </w:t>
      </w:r>
      <w:r>
        <w:rPr>
          <w:b w:val="0"/>
          <w:sz w:val="24"/>
          <w:szCs w:val="24"/>
        </w:rPr>
        <w:t xml:space="preserve"> </w:t>
      </w:r>
      <w:r>
        <w:rPr>
          <w:b w:val="0"/>
          <w:sz w:val="24"/>
          <w:szCs w:val="24"/>
        </w:rPr>
        <w:t xml:space="preserve">По оценочным данным среднегодовая числе</w:t>
      </w:r>
      <w:r>
        <w:rPr>
          <w:b w:val="0"/>
          <w:sz w:val="24"/>
          <w:szCs w:val="24"/>
        </w:rPr>
        <w:t xml:space="preserve">нность населения составит 28 417</w:t>
      </w:r>
      <w:r>
        <w:rPr>
          <w:b w:val="0"/>
          <w:sz w:val="24"/>
          <w:szCs w:val="24"/>
        </w:rPr>
        <w:t xml:space="preserve"> человек.</w:t>
      </w:r>
      <w:r>
        <w:rPr>
          <w:b w:val="0"/>
          <w:sz w:val="24"/>
          <w:szCs w:val="24"/>
        </w:rPr>
      </w:r>
      <w:r>
        <w:rPr>
          <w:b w:val="0"/>
          <w:sz w:val="24"/>
          <w:szCs w:val="24"/>
        </w:rPr>
      </w:r>
    </w:p>
    <w:p>
      <w:pPr>
        <w:pStyle w:val="959"/>
        <w:ind w:firstLine="709"/>
        <w:jc w:val="both"/>
        <w:spacing w:line="276" w:lineRule="auto"/>
        <w:rPr>
          <w:b w:val="0"/>
          <w:sz w:val="24"/>
          <w:szCs w:val="24"/>
        </w:rPr>
      </w:pPr>
      <w:r>
        <w:rPr>
          <w:b w:val="0"/>
          <w:sz w:val="24"/>
          <w:szCs w:val="24"/>
        </w:rPr>
        <w:t xml:space="preserve">По </w:t>
      </w:r>
      <w:r>
        <w:rPr>
          <w:b w:val="0"/>
          <w:sz w:val="24"/>
          <w:szCs w:val="24"/>
        </w:rPr>
        <w:t xml:space="preserve">данным</w:t>
      </w:r>
      <w:r>
        <w:rPr>
          <w:b w:val="0"/>
          <w:sz w:val="24"/>
          <w:szCs w:val="24"/>
        </w:rPr>
        <w:t xml:space="preserve"> </w:t>
      </w:r>
      <w:r>
        <w:rPr>
          <w:b w:val="0"/>
          <w:sz w:val="24"/>
          <w:szCs w:val="24"/>
        </w:rPr>
        <w:t xml:space="preserve">отдела записи актов гражданского состояния администрации Белоярского района</w:t>
      </w:r>
      <w:r>
        <w:rPr>
          <w:b w:val="0"/>
          <w:sz w:val="24"/>
          <w:szCs w:val="24"/>
        </w:rPr>
        <w:t xml:space="preserve"> </w:t>
      </w:r>
      <w:r>
        <w:rPr>
          <w:b w:val="0"/>
          <w:sz w:val="24"/>
          <w:szCs w:val="24"/>
        </w:rPr>
        <w:t xml:space="preserve">на территории </w:t>
      </w:r>
      <w:r>
        <w:rPr>
          <w:b w:val="0"/>
          <w:sz w:val="24"/>
          <w:szCs w:val="24"/>
        </w:rPr>
        <w:t xml:space="preserve">района </w:t>
      </w:r>
      <w:r>
        <w:rPr>
          <w:b w:val="0"/>
          <w:sz w:val="24"/>
          <w:szCs w:val="24"/>
        </w:rPr>
        <w:t xml:space="preserve">за</w:t>
      </w:r>
      <w:r>
        <w:rPr>
          <w:b w:val="0"/>
          <w:sz w:val="24"/>
          <w:szCs w:val="24"/>
        </w:rPr>
        <w:t xml:space="preserve"> </w:t>
      </w:r>
      <w:r>
        <w:rPr>
          <w:b w:val="0"/>
          <w:sz w:val="24"/>
          <w:szCs w:val="24"/>
        </w:rPr>
        <w:t xml:space="preserve">2024 год</w:t>
      </w:r>
      <w:r>
        <w:rPr>
          <w:b w:val="0"/>
          <w:sz w:val="24"/>
          <w:szCs w:val="24"/>
        </w:rPr>
        <w:t xml:space="preserve"> родились</w:t>
      </w:r>
      <w:r>
        <w:rPr>
          <w:b w:val="0"/>
          <w:sz w:val="24"/>
          <w:szCs w:val="24"/>
        </w:rPr>
        <w:t xml:space="preserve"> </w:t>
      </w:r>
      <w:r>
        <w:rPr>
          <w:b w:val="0"/>
          <w:sz w:val="24"/>
          <w:szCs w:val="24"/>
        </w:rPr>
        <w:t xml:space="preserve">197</w:t>
      </w:r>
      <w:r>
        <w:rPr>
          <w:b w:val="0"/>
          <w:sz w:val="24"/>
          <w:szCs w:val="24"/>
        </w:rPr>
        <w:t xml:space="preserve"> </w:t>
      </w:r>
      <w:r>
        <w:rPr>
          <w:b w:val="0"/>
          <w:sz w:val="24"/>
          <w:szCs w:val="24"/>
        </w:rPr>
        <w:t xml:space="preserve">детей</w:t>
      </w:r>
      <w:r>
        <w:rPr>
          <w:b w:val="0"/>
          <w:sz w:val="24"/>
          <w:szCs w:val="24"/>
        </w:rPr>
        <w:t xml:space="preserve">, что на </w:t>
      </w:r>
      <w:r>
        <w:rPr>
          <w:b w:val="0"/>
          <w:sz w:val="24"/>
          <w:szCs w:val="24"/>
        </w:rPr>
        <w:t xml:space="preserve">85</w:t>
      </w:r>
      <w:r>
        <w:rPr>
          <w:b w:val="0"/>
          <w:sz w:val="24"/>
          <w:szCs w:val="24"/>
        </w:rPr>
        <w:t xml:space="preserve"> малыш</w:t>
      </w:r>
      <w:r>
        <w:rPr>
          <w:b w:val="0"/>
          <w:sz w:val="24"/>
          <w:szCs w:val="24"/>
        </w:rPr>
        <w:t xml:space="preserve">ей</w:t>
      </w:r>
      <w:r>
        <w:rPr>
          <w:b w:val="0"/>
          <w:sz w:val="24"/>
          <w:szCs w:val="24"/>
        </w:rPr>
        <w:t xml:space="preserve"> меньше</w:t>
      </w:r>
      <w:r>
        <w:rPr>
          <w:b w:val="0"/>
          <w:sz w:val="24"/>
          <w:szCs w:val="24"/>
        </w:rPr>
        <w:t xml:space="preserve">, чем за </w:t>
      </w:r>
      <w:r>
        <w:rPr>
          <w:b w:val="0"/>
          <w:sz w:val="24"/>
          <w:szCs w:val="24"/>
        </w:rPr>
        <w:t xml:space="preserve">2023 год</w:t>
      </w:r>
      <w:r>
        <w:rPr>
          <w:b w:val="0"/>
          <w:sz w:val="24"/>
          <w:szCs w:val="24"/>
        </w:rPr>
        <w:t xml:space="preserve">.</w:t>
      </w:r>
      <w:r>
        <w:rPr>
          <w:b w:val="0"/>
          <w:sz w:val="24"/>
          <w:szCs w:val="24"/>
        </w:rPr>
        <w:t xml:space="preserve"> </w:t>
      </w:r>
      <w:r>
        <w:rPr>
          <w:b w:val="0"/>
          <w:sz w:val="24"/>
          <w:szCs w:val="24"/>
        </w:rPr>
        <w:t xml:space="preserve">Уровень рождаемости составил </w:t>
      </w:r>
      <w:r>
        <w:rPr>
          <w:b w:val="0"/>
          <w:sz w:val="24"/>
          <w:szCs w:val="24"/>
        </w:rPr>
        <w:t xml:space="preserve">6,9</w:t>
      </w:r>
      <w:r>
        <w:rPr>
          <w:b w:val="0"/>
          <w:sz w:val="24"/>
          <w:szCs w:val="24"/>
        </w:rPr>
        <w:t xml:space="preserve"> промилле.</w:t>
      </w:r>
      <w:r>
        <w:rPr>
          <w:b w:val="0"/>
          <w:sz w:val="24"/>
          <w:szCs w:val="24"/>
        </w:rPr>
        <w:t xml:space="preserve"> </w:t>
      </w:r>
      <w:r>
        <w:rPr>
          <w:b w:val="0"/>
          <w:sz w:val="24"/>
          <w:szCs w:val="24"/>
        </w:rPr>
      </w:r>
      <w:r>
        <w:rPr>
          <w:b w:val="0"/>
          <w:sz w:val="24"/>
          <w:szCs w:val="24"/>
        </w:rPr>
      </w:r>
    </w:p>
    <w:p>
      <w:pPr>
        <w:pStyle w:val="934"/>
        <w:ind w:firstLine="720"/>
        <w:jc w:val="both"/>
        <w:spacing w:line="276" w:lineRule="auto"/>
        <w:rPr>
          <w:sz w:val="24"/>
          <w:szCs w:val="24"/>
        </w:rPr>
      </w:pPr>
      <w:r>
        <w:rPr>
          <w:sz w:val="24"/>
          <w:szCs w:val="24"/>
        </w:rPr>
        <w:t xml:space="preserve">По предварительным данным </w:t>
      </w:r>
      <w:r>
        <w:rPr>
          <w:sz w:val="24"/>
          <w:szCs w:val="24"/>
        </w:rPr>
        <w:t xml:space="preserve">за </w:t>
      </w:r>
      <w:r>
        <w:rPr>
          <w:sz w:val="24"/>
          <w:szCs w:val="24"/>
        </w:rPr>
        <w:t xml:space="preserve">2024 год</w:t>
      </w:r>
      <w:r>
        <w:rPr>
          <w:sz w:val="24"/>
          <w:szCs w:val="24"/>
        </w:rPr>
        <w:t xml:space="preserve"> умерли </w:t>
      </w:r>
      <w:r>
        <w:rPr>
          <w:sz w:val="24"/>
          <w:szCs w:val="24"/>
        </w:rPr>
        <w:t xml:space="preserve">193</w:t>
      </w:r>
      <w:r>
        <w:rPr>
          <w:sz w:val="24"/>
          <w:szCs w:val="24"/>
        </w:rPr>
        <w:t xml:space="preserve"> человек</w:t>
      </w:r>
      <w:r>
        <w:rPr>
          <w:sz w:val="24"/>
          <w:szCs w:val="24"/>
        </w:rPr>
        <w:t xml:space="preserve">а</w:t>
      </w:r>
      <w:r>
        <w:rPr>
          <w:sz w:val="24"/>
          <w:szCs w:val="24"/>
        </w:rPr>
        <w:t xml:space="preserve">, что составляет </w:t>
      </w:r>
      <w:r>
        <w:rPr>
          <w:sz w:val="24"/>
          <w:szCs w:val="24"/>
        </w:rPr>
        <w:t xml:space="preserve">6,8</w:t>
      </w:r>
      <w:r>
        <w:rPr>
          <w:sz w:val="24"/>
          <w:szCs w:val="24"/>
        </w:rPr>
        <w:t xml:space="preserve"> </w:t>
      </w:r>
      <w:r>
        <w:rPr>
          <w:sz w:val="24"/>
          <w:szCs w:val="24"/>
        </w:rPr>
        <w:t xml:space="preserve">промилле. </w:t>
      </w:r>
      <w:r>
        <w:rPr>
          <w:sz w:val="24"/>
          <w:szCs w:val="24"/>
        </w:rPr>
      </w:r>
      <w:r>
        <w:rPr>
          <w:sz w:val="24"/>
          <w:szCs w:val="24"/>
        </w:rPr>
      </w:r>
    </w:p>
    <w:p>
      <w:pPr>
        <w:pStyle w:val="934"/>
        <w:ind w:firstLine="720"/>
        <w:jc w:val="both"/>
        <w:spacing w:line="276" w:lineRule="auto"/>
        <w:rPr>
          <w:sz w:val="24"/>
          <w:szCs w:val="24"/>
        </w:rPr>
      </w:pPr>
      <w:r>
        <w:rPr>
          <w:sz w:val="24"/>
          <w:szCs w:val="24"/>
        </w:rPr>
        <w:t xml:space="preserve">Миграционный </w:t>
      </w:r>
      <w:r>
        <w:rPr>
          <w:b/>
          <w:sz w:val="24"/>
          <w:szCs w:val="24"/>
        </w:rPr>
        <w:t xml:space="preserve">отток </w:t>
      </w:r>
      <w:r>
        <w:rPr>
          <w:sz w:val="24"/>
          <w:szCs w:val="24"/>
        </w:rPr>
        <w:t xml:space="preserve">населения</w:t>
      </w:r>
      <w:r>
        <w:rPr>
          <w:sz w:val="24"/>
          <w:szCs w:val="24"/>
        </w:rPr>
        <w:t xml:space="preserve">, по оценочным</w:t>
      </w:r>
      <w:r>
        <w:rPr>
          <w:sz w:val="24"/>
          <w:szCs w:val="24"/>
        </w:rPr>
        <w:t xml:space="preserve"> данным, составил </w:t>
      </w:r>
      <w:r>
        <w:rPr>
          <w:sz w:val="24"/>
          <w:szCs w:val="24"/>
        </w:rPr>
        <w:t xml:space="preserve">127</w:t>
      </w:r>
      <w:r>
        <w:rPr>
          <w:sz w:val="24"/>
          <w:szCs w:val="24"/>
        </w:rPr>
        <w:t xml:space="preserve"> человек.</w:t>
      </w:r>
      <w:r>
        <w:rPr>
          <w:sz w:val="24"/>
          <w:szCs w:val="24"/>
        </w:rPr>
      </w:r>
      <w:r>
        <w:rPr>
          <w:sz w:val="24"/>
          <w:szCs w:val="24"/>
        </w:rPr>
      </w:r>
    </w:p>
    <w:p>
      <w:pPr>
        <w:pStyle w:val="961"/>
        <w:jc w:val="right"/>
        <w:spacing w:after="0" w:line="276" w:lineRule="auto"/>
        <w:rPr>
          <w:sz w:val="24"/>
          <w:szCs w:val="24"/>
        </w:rPr>
      </w:pPr>
      <w:r>
        <w:rPr>
          <w:sz w:val="24"/>
          <w:szCs w:val="24"/>
        </w:rPr>
        <w:t xml:space="preserve">                            Таблица 1 </w:t>
        <w:tab/>
      </w:r>
      <w:r>
        <w:rPr>
          <w:sz w:val="24"/>
          <w:szCs w:val="24"/>
        </w:rPr>
      </w:r>
      <w:r>
        <w:rPr>
          <w:sz w:val="24"/>
          <w:szCs w:val="24"/>
        </w:rPr>
      </w:r>
    </w:p>
    <w:tbl>
      <w:tblPr>
        <w:tblpPr w:horzAnchor="margin" w:tblpXSpec="left" w:vertAnchor="text" w:tblpY="35" w:leftFromText="180" w:topFromText="0" w:rightFromText="180" w:bottomFromText="0"/>
        <w:tblW w:w="9606"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108" w:type="dxa"/>
          <w:top w:w="0" w:type="dxa"/>
          <w:right w:w="108" w:type="dxa"/>
          <w:bottom w:w="0" w:type="dxa"/>
        </w:tblCellMar>
        <w:tblLook w:val="04A0" w:firstRow="1" w:lastRow="0" w:firstColumn="1" w:lastColumn="0" w:noHBand="0" w:noVBand="1"/>
      </w:tblPr>
      <w:tblGrid>
        <w:gridCol w:w="3369"/>
        <w:gridCol w:w="2126"/>
        <w:gridCol w:w="1843"/>
        <w:gridCol w:w="226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cantSplit/>
          <w:trHeight w:val="1422"/>
        </w:trPr>
        <w:tc>
          <w:tcPr>
            <w:tcBorders>
              <w:top w:val="single" w:color="000000" w:sz="4" w:space="0"/>
              <w:left w:val="single" w:color="000000" w:sz="4" w:space="0"/>
              <w:bottom w:val="single" w:color="000000" w:sz="4" w:space="0"/>
              <w:right w:val="single" w:color="000000" w:sz="4" w:space="0"/>
            </w:tcBorders>
            <w:tcW w:w="3369" w:type="dxa"/>
            <w:vAlign w:val="center"/>
            <w:vMerge w:val="restart"/>
            <w:textDirection w:val="lrTb"/>
            <w:noWrap w:val="false"/>
          </w:tcPr>
          <w:p>
            <w:pPr>
              <w:pStyle w:val="961"/>
              <w:jc w:val="center"/>
              <w:spacing w:after="0" w:line="276" w:lineRule="auto"/>
              <w:rPr>
                <w:b/>
                <w:sz w:val="24"/>
                <w:szCs w:val="24"/>
              </w:rPr>
              <w:framePr w:hSpace="180" w:wrap="around" w:vAnchor="text" w:hAnchor="margin" w:y="35"/>
            </w:pPr>
            <w:r>
              <w:rPr>
                <w:b/>
                <w:sz w:val="24"/>
                <w:szCs w:val="24"/>
              </w:rPr>
              <w:t xml:space="preserve">Показатели</w:t>
            </w:r>
            <w:r>
              <w:rPr>
                <w:b/>
                <w:sz w:val="24"/>
                <w:szCs w:val="24"/>
              </w:rPr>
            </w:r>
            <w:r>
              <w:rPr>
                <w:b/>
                <w:sz w:val="24"/>
                <w:szCs w:val="24"/>
              </w:rPr>
            </w:r>
          </w:p>
        </w:tc>
        <w:tc>
          <w:tcPr>
            <w:tcBorders>
              <w:top w:val="single" w:color="000000" w:sz="4" w:space="0"/>
              <w:left w:val="single" w:color="000000" w:sz="4" w:space="0"/>
              <w:bottom w:val="single" w:color="000000" w:sz="4" w:space="0"/>
              <w:right w:val="single" w:color="000000" w:sz="4" w:space="0"/>
            </w:tcBorders>
            <w:tcW w:w="2126" w:type="dxa"/>
            <w:vAlign w:val="center"/>
            <w:vMerge w:val="restart"/>
            <w:textDirection w:val="lrTb"/>
            <w:noWrap w:val="false"/>
          </w:tcPr>
          <w:p>
            <w:pPr>
              <w:pStyle w:val="961"/>
              <w:jc w:val="center"/>
              <w:spacing w:after="0" w:line="276" w:lineRule="auto"/>
              <w:rPr>
                <w:b/>
                <w:sz w:val="24"/>
                <w:szCs w:val="24"/>
              </w:rPr>
              <w:framePr w:hSpace="180" w:wrap="around" w:vAnchor="text" w:hAnchor="margin" w:y="35"/>
            </w:pPr>
            <w:r>
              <w:rPr>
                <w:b/>
                <w:sz w:val="24"/>
                <w:szCs w:val="24"/>
              </w:rPr>
              <w:t xml:space="preserve">2023 год</w:t>
            </w:r>
            <w:r>
              <w:rPr>
                <w:b/>
                <w:sz w:val="24"/>
                <w:szCs w:val="24"/>
              </w:rPr>
            </w:r>
            <w:r>
              <w:rPr>
                <w:b/>
                <w:sz w:val="24"/>
                <w:szCs w:val="24"/>
              </w:rPr>
            </w:r>
          </w:p>
        </w:tc>
        <w:tc>
          <w:tcPr>
            <w:tcBorders>
              <w:top w:val="single" w:color="000000" w:sz="4" w:space="0"/>
              <w:left w:val="single" w:color="000000" w:sz="4" w:space="0"/>
              <w:bottom w:val="single" w:color="000000" w:sz="4" w:space="0"/>
              <w:right w:val="single" w:color="000000" w:sz="4" w:space="0"/>
            </w:tcBorders>
            <w:tcW w:w="1843" w:type="dxa"/>
            <w:vAlign w:val="center"/>
            <w:vMerge w:val="restart"/>
            <w:textDirection w:val="lrTb"/>
            <w:noWrap w:val="false"/>
          </w:tcPr>
          <w:p>
            <w:pPr>
              <w:pStyle w:val="961"/>
              <w:jc w:val="center"/>
              <w:spacing w:after="0" w:line="276" w:lineRule="auto"/>
              <w:rPr>
                <w:b/>
                <w:sz w:val="24"/>
                <w:szCs w:val="24"/>
              </w:rPr>
              <w:framePr w:hSpace="180" w:wrap="around" w:vAnchor="text" w:hAnchor="margin" w:y="35"/>
            </w:pPr>
            <w:r>
              <w:rPr>
                <w:b/>
                <w:sz w:val="24"/>
                <w:szCs w:val="24"/>
              </w:rPr>
              <w:t xml:space="preserve">2024 год</w:t>
            </w:r>
            <w:r>
              <w:rPr>
                <w:b/>
                <w:sz w:val="24"/>
                <w:szCs w:val="24"/>
              </w:rPr>
              <w:t xml:space="preserve"> (оценка)</w:t>
            </w:r>
            <w:r>
              <w:rPr>
                <w:b/>
                <w:sz w:val="24"/>
                <w:szCs w:val="24"/>
              </w:rPr>
            </w:r>
            <w:r>
              <w:rPr>
                <w:b/>
                <w:sz w:val="24"/>
                <w:szCs w:val="24"/>
              </w:rPr>
            </w:r>
          </w:p>
        </w:tc>
        <w:tc>
          <w:tcPr>
            <w:tcBorders>
              <w:top w:val="single" w:color="000000" w:sz="4" w:space="0"/>
              <w:left w:val="single" w:color="000000" w:sz="4" w:space="0"/>
              <w:bottom w:val="single" w:color="000000" w:sz="4" w:space="0"/>
              <w:right w:val="single" w:color="000000" w:sz="4" w:space="0"/>
            </w:tcBorders>
            <w:tcW w:w="2268" w:type="dxa"/>
            <w:vAlign w:val="center"/>
            <w:vMerge w:val="restart"/>
            <w:textDirection w:val="btLr"/>
            <w:noWrap w:val="false"/>
          </w:tcPr>
          <w:p>
            <w:pPr>
              <w:pStyle w:val="961"/>
              <w:ind w:left="113" w:right="113"/>
              <w:jc w:val="center"/>
              <w:spacing w:after="0" w:line="276" w:lineRule="auto"/>
              <w:rPr>
                <w:b/>
                <w:sz w:val="24"/>
                <w:szCs w:val="24"/>
              </w:rPr>
              <w:framePr w:hSpace="180" w:wrap="around" w:vAnchor="text" w:hAnchor="margin" w:y="35"/>
            </w:pPr>
            <w:r>
              <w:rPr>
                <w:b/>
                <w:sz w:val="24"/>
                <w:szCs w:val="24"/>
              </w:rPr>
              <w:t xml:space="preserve">увеличение (+),</w:t>
            </w:r>
            <w:r>
              <w:rPr>
                <w:b/>
                <w:sz w:val="24"/>
                <w:szCs w:val="24"/>
              </w:rPr>
            </w:r>
            <w:r>
              <w:rPr>
                <w:b/>
                <w:sz w:val="24"/>
                <w:szCs w:val="24"/>
              </w:rPr>
            </w:r>
          </w:p>
          <w:p>
            <w:pPr>
              <w:pStyle w:val="961"/>
              <w:ind w:left="113" w:right="113"/>
              <w:jc w:val="center"/>
              <w:spacing w:after="0" w:line="276" w:lineRule="auto"/>
              <w:rPr>
                <w:b/>
                <w:sz w:val="24"/>
                <w:szCs w:val="24"/>
              </w:rPr>
              <w:framePr w:hSpace="180" w:wrap="around" w:vAnchor="text" w:hAnchor="margin" w:y="35"/>
            </w:pPr>
            <w:r>
              <w:rPr>
                <w:b/>
                <w:sz w:val="24"/>
                <w:szCs w:val="24"/>
              </w:rPr>
              <w:t xml:space="preserve">уменьшение (-)</w:t>
            </w:r>
            <w:r>
              <w:rPr>
                <w:b/>
                <w:sz w:val="24"/>
                <w:szCs w:val="24"/>
              </w:rPr>
            </w:r>
            <w:r>
              <w:rPr>
                <w:b/>
                <w:sz w:val="24"/>
                <w:szCs w:val="24"/>
              </w:rP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cantSplit/>
          <w:trHeight w:val="263"/>
        </w:trPr>
        <w:tc>
          <w:tcPr>
            <w:tcBorders>
              <w:top w:val="single" w:color="000000" w:sz="4" w:space="0"/>
              <w:left w:val="single" w:color="000000" w:sz="4" w:space="0"/>
              <w:bottom w:val="single" w:color="000000" w:sz="4" w:space="0"/>
              <w:right w:val="single" w:color="000000" w:sz="4" w:space="0"/>
            </w:tcBorders>
            <w:tcW w:w="3369" w:type="dxa"/>
            <w:vAlign w:val="center"/>
            <w:textDirection w:val="lrTb"/>
            <w:noWrap w:val="false"/>
          </w:tcPr>
          <w:p>
            <w:pPr>
              <w:pStyle w:val="961"/>
              <w:ind w:right="-142"/>
              <w:spacing w:after="0" w:line="276" w:lineRule="auto"/>
              <w:rPr>
                <w:sz w:val="24"/>
                <w:szCs w:val="24"/>
              </w:rPr>
              <w:framePr w:hSpace="180" w:wrap="around" w:vAnchor="text" w:hAnchor="margin" w:y="35"/>
            </w:pPr>
            <w:r>
              <w:rPr>
                <w:sz w:val="24"/>
                <w:szCs w:val="24"/>
              </w:rPr>
              <w:t xml:space="preserve">Родившихся, человек</w:t>
            </w:r>
            <w:r>
              <w:rPr>
                <w:sz w:val="24"/>
                <w:szCs w:val="24"/>
              </w:rPr>
            </w:r>
            <w:r>
              <w:rPr>
                <w:sz w:val="24"/>
                <w:szCs w:val="24"/>
              </w:rPr>
            </w:r>
          </w:p>
        </w:tc>
        <w:tc>
          <w:tcPr>
            <w:tcBorders>
              <w:top w:val="single" w:color="000000" w:sz="4" w:space="0"/>
              <w:left w:val="single" w:color="000000" w:sz="4" w:space="0"/>
              <w:bottom w:val="single" w:color="000000" w:sz="4" w:space="0"/>
              <w:right w:val="single" w:color="000000" w:sz="4" w:space="0"/>
            </w:tcBorders>
            <w:tcW w:w="2126" w:type="dxa"/>
            <w:vAlign w:val="center"/>
            <w:textDirection w:val="lrTb"/>
            <w:noWrap w:val="false"/>
          </w:tcPr>
          <w:p>
            <w:pPr>
              <w:pStyle w:val="961"/>
              <w:ind w:left="-109" w:right="-142" w:firstLine="109"/>
              <w:jc w:val="center"/>
              <w:spacing w:after="0" w:line="276" w:lineRule="auto"/>
              <w:rPr>
                <w:sz w:val="24"/>
                <w:szCs w:val="24"/>
              </w:rPr>
              <w:framePr w:hSpace="180" w:wrap="around" w:vAnchor="text" w:hAnchor="margin" w:y="35"/>
            </w:pPr>
            <w:r>
              <w:rPr>
                <w:sz w:val="24"/>
                <w:szCs w:val="24"/>
              </w:rPr>
              <w:t xml:space="preserve">282</w:t>
            </w:r>
            <w:r>
              <w:rPr>
                <w:sz w:val="24"/>
                <w:szCs w:val="24"/>
              </w:rPr>
            </w:r>
            <w:r>
              <w:rPr>
                <w:sz w:val="24"/>
                <w:szCs w:val="24"/>
              </w:rPr>
            </w:r>
          </w:p>
        </w:tc>
        <w:tc>
          <w:tcPr>
            <w:tcBorders>
              <w:top w:val="single" w:color="000000" w:sz="4" w:space="0"/>
              <w:left w:val="single" w:color="000000" w:sz="4" w:space="0"/>
              <w:bottom w:val="single" w:color="000000" w:sz="4" w:space="0"/>
              <w:right w:val="single" w:color="000000" w:sz="4" w:space="0"/>
            </w:tcBorders>
            <w:tcW w:w="1843" w:type="dxa"/>
            <w:vAlign w:val="center"/>
            <w:textDirection w:val="lrTb"/>
            <w:noWrap w:val="false"/>
          </w:tcPr>
          <w:p>
            <w:pPr>
              <w:pStyle w:val="961"/>
              <w:ind w:left="-109" w:right="-142" w:firstLine="109"/>
              <w:jc w:val="center"/>
              <w:spacing w:after="0" w:line="276" w:lineRule="auto"/>
              <w:rPr>
                <w:sz w:val="24"/>
                <w:szCs w:val="24"/>
              </w:rPr>
              <w:framePr w:hSpace="180" w:wrap="around" w:vAnchor="text" w:hAnchor="margin" w:y="35"/>
            </w:pPr>
            <w:r>
              <w:rPr>
                <w:sz w:val="24"/>
                <w:szCs w:val="24"/>
              </w:rPr>
              <w:t xml:space="preserve">197</w:t>
            </w:r>
            <w:r>
              <w:rPr>
                <w:sz w:val="24"/>
                <w:szCs w:val="24"/>
              </w:rPr>
            </w:r>
            <w:r>
              <w:rPr>
                <w:sz w:val="24"/>
                <w:szCs w:val="24"/>
              </w:rPr>
            </w:r>
          </w:p>
        </w:tc>
        <w:tc>
          <w:tcPr>
            <w:tcBorders>
              <w:top w:val="single" w:color="000000" w:sz="4" w:space="0"/>
              <w:left w:val="single" w:color="000000" w:sz="4" w:space="0"/>
              <w:bottom w:val="single" w:color="000000" w:sz="4" w:space="0"/>
              <w:right w:val="single" w:color="000000" w:sz="4" w:space="0"/>
            </w:tcBorders>
            <w:tcMar>
              <w:left w:w="0" w:type="dxa"/>
              <w:top w:w="0" w:type="dxa"/>
              <w:right w:w="170" w:type="dxa"/>
              <w:bottom w:w="0" w:type="dxa"/>
            </w:tcMar>
            <w:tcW w:w="2268" w:type="dxa"/>
            <w:vAlign w:val="center"/>
            <w:textDirection w:val="lrTb"/>
            <w:noWrap w:val="false"/>
          </w:tcPr>
          <w:p>
            <w:pPr>
              <w:pStyle w:val="961"/>
              <w:ind w:right="-142"/>
              <w:jc w:val="center"/>
              <w:spacing w:after="0" w:line="276" w:lineRule="auto"/>
              <w:rPr>
                <w:sz w:val="24"/>
                <w:szCs w:val="24"/>
              </w:rPr>
              <w:framePr w:hSpace="180" w:wrap="around" w:vAnchor="text" w:hAnchor="margin" w:y="35"/>
            </w:pPr>
            <w:r>
              <w:rPr>
                <w:sz w:val="24"/>
                <w:szCs w:val="24"/>
              </w:rPr>
              <w:t xml:space="preserve">-85</w:t>
            </w:r>
            <w:r>
              <w:rPr>
                <w:sz w:val="24"/>
                <w:szCs w:val="24"/>
              </w:rPr>
            </w:r>
            <w:r>
              <w:rPr>
                <w:sz w:val="24"/>
                <w:szCs w:val="24"/>
              </w:rP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cantSplit/>
          <w:trHeight w:val="301"/>
        </w:trPr>
        <w:tc>
          <w:tcPr>
            <w:tcBorders>
              <w:top w:val="single" w:color="000000" w:sz="4" w:space="0"/>
              <w:left w:val="single" w:color="000000" w:sz="4" w:space="0"/>
              <w:bottom w:val="single" w:color="000000" w:sz="4" w:space="0"/>
              <w:right w:val="single" w:color="000000" w:sz="4" w:space="0"/>
            </w:tcBorders>
            <w:tcW w:w="3369" w:type="dxa"/>
            <w:vAlign w:val="center"/>
            <w:textDirection w:val="lrTb"/>
            <w:noWrap w:val="false"/>
          </w:tcPr>
          <w:p>
            <w:pPr>
              <w:pStyle w:val="961"/>
              <w:ind w:right="-142"/>
              <w:spacing w:after="0" w:line="276" w:lineRule="auto"/>
              <w:rPr>
                <w:sz w:val="24"/>
                <w:szCs w:val="24"/>
              </w:rPr>
              <w:framePr w:hSpace="180" w:wrap="around" w:vAnchor="text" w:hAnchor="margin" w:y="35"/>
            </w:pPr>
            <w:r>
              <w:rPr>
                <w:sz w:val="24"/>
                <w:szCs w:val="24"/>
              </w:rPr>
              <w:t xml:space="preserve">на 1000 населения, промилле</w:t>
            </w:r>
            <w:r>
              <w:rPr>
                <w:sz w:val="24"/>
                <w:szCs w:val="24"/>
              </w:rPr>
            </w:r>
            <w:r>
              <w:rPr>
                <w:sz w:val="24"/>
                <w:szCs w:val="24"/>
              </w:rPr>
            </w:r>
          </w:p>
        </w:tc>
        <w:tc>
          <w:tcPr>
            <w:tcBorders>
              <w:top w:val="single" w:color="000000" w:sz="4" w:space="0"/>
              <w:left w:val="single" w:color="000000" w:sz="4" w:space="0"/>
              <w:bottom w:val="single" w:color="000000" w:sz="4" w:space="0"/>
              <w:right w:val="single" w:color="000000" w:sz="4" w:space="0"/>
            </w:tcBorders>
            <w:tcW w:w="2126" w:type="dxa"/>
            <w:vAlign w:val="center"/>
            <w:textDirection w:val="lrTb"/>
            <w:noWrap w:val="false"/>
          </w:tcPr>
          <w:p>
            <w:pPr>
              <w:pStyle w:val="961"/>
              <w:ind w:right="-142"/>
              <w:jc w:val="center"/>
              <w:spacing w:after="0" w:line="276" w:lineRule="auto"/>
              <w:rPr>
                <w:sz w:val="24"/>
                <w:szCs w:val="24"/>
              </w:rPr>
              <w:framePr w:hSpace="180" w:wrap="around" w:vAnchor="text" w:hAnchor="margin" w:y="35"/>
            </w:pPr>
            <w:r>
              <w:rPr>
                <w:sz w:val="24"/>
                <w:szCs w:val="24"/>
              </w:rPr>
              <w:t xml:space="preserve">9,8</w:t>
            </w:r>
            <w:r>
              <w:rPr>
                <w:sz w:val="24"/>
                <w:szCs w:val="24"/>
              </w:rPr>
            </w:r>
            <w:r>
              <w:rPr>
                <w:sz w:val="24"/>
                <w:szCs w:val="24"/>
              </w:rPr>
            </w:r>
          </w:p>
        </w:tc>
        <w:tc>
          <w:tcPr>
            <w:tcBorders>
              <w:top w:val="single" w:color="000000" w:sz="4" w:space="0"/>
              <w:left w:val="single" w:color="000000" w:sz="4" w:space="0"/>
              <w:bottom w:val="single" w:color="000000" w:sz="4" w:space="0"/>
              <w:right w:val="single" w:color="000000" w:sz="4" w:space="0"/>
            </w:tcBorders>
            <w:tcW w:w="1843" w:type="dxa"/>
            <w:vAlign w:val="center"/>
            <w:textDirection w:val="lrTb"/>
            <w:noWrap w:val="false"/>
          </w:tcPr>
          <w:p>
            <w:pPr>
              <w:pStyle w:val="961"/>
              <w:ind w:right="-142"/>
              <w:jc w:val="center"/>
              <w:spacing w:after="0" w:line="276" w:lineRule="auto"/>
              <w:rPr>
                <w:sz w:val="24"/>
                <w:szCs w:val="24"/>
              </w:rPr>
              <w:framePr w:hSpace="180" w:wrap="around" w:vAnchor="text" w:hAnchor="margin" w:y="35"/>
            </w:pPr>
            <w:r>
              <w:rPr>
                <w:sz w:val="24"/>
                <w:szCs w:val="24"/>
              </w:rPr>
              <w:t xml:space="preserve">6,9</w:t>
            </w:r>
            <w:r>
              <w:rPr>
                <w:sz w:val="24"/>
                <w:szCs w:val="24"/>
              </w:rPr>
            </w:r>
            <w:r>
              <w:rPr>
                <w:sz w:val="24"/>
                <w:szCs w:val="24"/>
              </w:rPr>
            </w:r>
          </w:p>
        </w:tc>
        <w:tc>
          <w:tcPr>
            <w:tcBorders>
              <w:top w:val="single" w:color="000000" w:sz="4" w:space="0"/>
              <w:left w:val="single" w:color="000000" w:sz="4" w:space="0"/>
              <w:bottom w:val="single" w:color="000000" w:sz="4" w:space="0"/>
              <w:right w:val="single" w:color="000000" w:sz="4" w:space="0"/>
            </w:tcBorders>
            <w:tcMar>
              <w:left w:w="0" w:type="dxa"/>
              <w:top w:w="0" w:type="dxa"/>
              <w:right w:w="170" w:type="dxa"/>
              <w:bottom w:w="0" w:type="dxa"/>
            </w:tcMar>
            <w:tcW w:w="2268" w:type="dxa"/>
            <w:vAlign w:val="center"/>
            <w:textDirection w:val="lrTb"/>
            <w:noWrap w:val="false"/>
          </w:tcPr>
          <w:p>
            <w:pPr>
              <w:pStyle w:val="961"/>
              <w:ind w:right="-142"/>
              <w:jc w:val="center"/>
              <w:spacing w:after="0" w:line="276" w:lineRule="auto"/>
              <w:rPr>
                <w:sz w:val="24"/>
                <w:szCs w:val="24"/>
              </w:rPr>
              <w:framePr w:hSpace="180" w:wrap="around" w:vAnchor="text" w:hAnchor="margin" w:y="35"/>
            </w:pPr>
            <w:r>
              <w:rPr>
                <w:sz w:val="24"/>
                <w:szCs w:val="24"/>
              </w:rPr>
              <w:t xml:space="preserve">-2,9</w:t>
            </w:r>
            <w:r>
              <w:rPr>
                <w:sz w:val="24"/>
                <w:szCs w:val="24"/>
              </w:rPr>
            </w:r>
            <w:r>
              <w:rPr>
                <w:sz w:val="24"/>
                <w:szCs w:val="24"/>
              </w:rP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cantSplit/>
          <w:trHeight w:val="321"/>
        </w:trPr>
        <w:tc>
          <w:tcPr>
            <w:tcBorders>
              <w:top w:val="single" w:color="000000" w:sz="4" w:space="0"/>
              <w:left w:val="single" w:color="000000" w:sz="4" w:space="0"/>
              <w:bottom w:val="single" w:color="000000" w:sz="4" w:space="0"/>
              <w:right w:val="single" w:color="000000" w:sz="4" w:space="0"/>
            </w:tcBorders>
            <w:tcW w:w="3369" w:type="dxa"/>
            <w:vAlign w:val="center"/>
            <w:textDirection w:val="lrTb"/>
            <w:noWrap w:val="false"/>
          </w:tcPr>
          <w:p>
            <w:pPr>
              <w:pStyle w:val="961"/>
              <w:ind w:right="-142"/>
              <w:spacing w:after="0" w:line="276" w:lineRule="auto"/>
              <w:rPr>
                <w:sz w:val="24"/>
                <w:szCs w:val="24"/>
              </w:rPr>
              <w:framePr w:hSpace="180" w:wrap="around" w:vAnchor="text" w:hAnchor="margin" w:y="35"/>
            </w:pPr>
            <w:r>
              <w:rPr>
                <w:sz w:val="24"/>
                <w:szCs w:val="24"/>
              </w:rPr>
              <w:t xml:space="preserve">Умерших, человек</w:t>
            </w:r>
            <w:r>
              <w:rPr>
                <w:sz w:val="24"/>
                <w:szCs w:val="24"/>
              </w:rPr>
            </w:r>
            <w:r>
              <w:rPr>
                <w:sz w:val="24"/>
                <w:szCs w:val="24"/>
              </w:rPr>
            </w:r>
          </w:p>
        </w:tc>
        <w:tc>
          <w:tcPr>
            <w:tcBorders>
              <w:top w:val="single" w:color="000000" w:sz="4" w:space="0"/>
              <w:left w:val="single" w:color="000000" w:sz="4" w:space="0"/>
              <w:bottom w:val="single" w:color="000000" w:sz="4" w:space="0"/>
              <w:right w:val="single" w:color="000000" w:sz="4" w:space="0"/>
            </w:tcBorders>
            <w:tcW w:w="2126" w:type="dxa"/>
            <w:vAlign w:val="center"/>
            <w:textDirection w:val="lrTb"/>
            <w:noWrap w:val="false"/>
          </w:tcPr>
          <w:p>
            <w:pPr>
              <w:pStyle w:val="961"/>
              <w:ind w:right="-142"/>
              <w:jc w:val="center"/>
              <w:spacing w:after="0" w:line="276" w:lineRule="auto"/>
              <w:rPr>
                <w:sz w:val="24"/>
                <w:szCs w:val="24"/>
              </w:rPr>
              <w:framePr w:hSpace="180" w:wrap="around" w:vAnchor="text" w:hAnchor="margin" w:y="35"/>
            </w:pPr>
            <w:r>
              <w:rPr>
                <w:sz w:val="24"/>
                <w:szCs w:val="24"/>
              </w:rPr>
              <w:t xml:space="preserve">209</w:t>
            </w:r>
            <w:r>
              <w:rPr>
                <w:sz w:val="24"/>
                <w:szCs w:val="24"/>
              </w:rPr>
            </w:r>
            <w:r>
              <w:rPr>
                <w:sz w:val="24"/>
                <w:szCs w:val="24"/>
              </w:rPr>
            </w:r>
          </w:p>
        </w:tc>
        <w:tc>
          <w:tcPr>
            <w:tcBorders>
              <w:top w:val="single" w:color="000000" w:sz="4" w:space="0"/>
              <w:left w:val="single" w:color="000000" w:sz="4" w:space="0"/>
              <w:bottom w:val="single" w:color="000000" w:sz="4" w:space="0"/>
              <w:right w:val="single" w:color="000000" w:sz="4" w:space="0"/>
            </w:tcBorders>
            <w:tcW w:w="1843" w:type="dxa"/>
            <w:vAlign w:val="center"/>
            <w:textDirection w:val="lrTb"/>
            <w:noWrap w:val="false"/>
          </w:tcPr>
          <w:p>
            <w:pPr>
              <w:pStyle w:val="961"/>
              <w:ind w:right="-142"/>
              <w:jc w:val="center"/>
              <w:spacing w:after="0" w:line="276" w:lineRule="auto"/>
              <w:rPr>
                <w:sz w:val="24"/>
                <w:szCs w:val="24"/>
              </w:rPr>
              <w:framePr w:hSpace="180" w:wrap="around" w:vAnchor="text" w:hAnchor="margin" w:y="35"/>
            </w:pPr>
            <w:r>
              <w:rPr>
                <w:sz w:val="24"/>
                <w:szCs w:val="24"/>
              </w:rPr>
              <w:t xml:space="preserve">193</w:t>
            </w:r>
            <w:r>
              <w:rPr>
                <w:sz w:val="24"/>
                <w:szCs w:val="24"/>
              </w:rPr>
            </w:r>
            <w:r>
              <w:rPr>
                <w:sz w:val="24"/>
                <w:szCs w:val="24"/>
              </w:rPr>
            </w:r>
          </w:p>
        </w:tc>
        <w:tc>
          <w:tcPr>
            <w:tcBorders>
              <w:top w:val="single" w:color="000000" w:sz="4" w:space="0"/>
              <w:left w:val="single" w:color="000000" w:sz="4" w:space="0"/>
              <w:bottom w:val="single" w:color="000000" w:sz="4" w:space="0"/>
              <w:right w:val="single" w:color="000000" w:sz="4" w:space="0"/>
            </w:tcBorders>
            <w:tcMar>
              <w:left w:w="0" w:type="dxa"/>
              <w:top w:w="0" w:type="dxa"/>
              <w:right w:w="170" w:type="dxa"/>
              <w:bottom w:w="0" w:type="dxa"/>
            </w:tcMar>
            <w:tcW w:w="2268" w:type="dxa"/>
            <w:vAlign w:val="center"/>
            <w:textDirection w:val="lrTb"/>
            <w:noWrap w:val="false"/>
          </w:tcPr>
          <w:p>
            <w:pPr>
              <w:pStyle w:val="961"/>
              <w:ind w:right="-142"/>
              <w:jc w:val="center"/>
              <w:spacing w:after="0" w:line="276" w:lineRule="auto"/>
              <w:rPr>
                <w:sz w:val="24"/>
                <w:szCs w:val="24"/>
              </w:rPr>
              <w:framePr w:hSpace="180" w:wrap="around" w:vAnchor="text" w:hAnchor="margin" w:y="35"/>
            </w:pPr>
            <w:r>
              <w:rPr>
                <w:sz w:val="24"/>
                <w:szCs w:val="24"/>
              </w:rPr>
              <w:t xml:space="preserve">-16</w:t>
            </w:r>
            <w:r>
              <w:rPr>
                <w:sz w:val="24"/>
                <w:szCs w:val="24"/>
              </w:rPr>
            </w:r>
            <w:r>
              <w:rPr>
                <w:sz w:val="24"/>
                <w:szCs w:val="24"/>
              </w:rP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cantSplit/>
          <w:trHeight w:val="340"/>
        </w:trPr>
        <w:tc>
          <w:tcPr>
            <w:tcBorders>
              <w:top w:val="single" w:color="000000" w:sz="4" w:space="0"/>
              <w:left w:val="single" w:color="000000" w:sz="4" w:space="0"/>
              <w:bottom w:val="single" w:color="000000" w:sz="4" w:space="0"/>
              <w:right w:val="single" w:color="000000" w:sz="4" w:space="0"/>
            </w:tcBorders>
            <w:tcW w:w="3369" w:type="dxa"/>
            <w:vAlign w:val="center"/>
            <w:textDirection w:val="lrTb"/>
            <w:noWrap w:val="false"/>
          </w:tcPr>
          <w:p>
            <w:pPr>
              <w:pStyle w:val="961"/>
              <w:ind w:right="-142"/>
              <w:spacing w:after="0" w:line="276" w:lineRule="auto"/>
              <w:rPr>
                <w:sz w:val="24"/>
                <w:szCs w:val="24"/>
              </w:rPr>
              <w:framePr w:hSpace="180" w:wrap="around" w:vAnchor="text" w:hAnchor="margin" w:y="35"/>
            </w:pPr>
            <w:r>
              <w:rPr>
                <w:sz w:val="24"/>
                <w:szCs w:val="24"/>
              </w:rPr>
              <w:t xml:space="preserve">на 1000 населения, промилле</w:t>
            </w:r>
            <w:r>
              <w:rPr>
                <w:sz w:val="24"/>
                <w:szCs w:val="24"/>
              </w:rPr>
            </w:r>
            <w:r>
              <w:rPr>
                <w:sz w:val="24"/>
                <w:szCs w:val="24"/>
              </w:rPr>
            </w:r>
          </w:p>
        </w:tc>
        <w:tc>
          <w:tcPr>
            <w:tcBorders>
              <w:top w:val="single" w:color="000000" w:sz="4" w:space="0"/>
              <w:left w:val="single" w:color="000000" w:sz="4" w:space="0"/>
              <w:bottom w:val="single" w:color="000000" w:sz="4" w:space="0"/>
              <w:right w:val="single" w:color="000000" w:sz="4" w:space="0"/>
            </w:tcBorders>
            <w:tcW w:w="2126" w:type="dxa"/>
            <w:vAlign w:val="center"/>
            <w:textDirection w:val="lrTb"/>
            <w:noWrap w:val="false"/>
          </w:tcPr>
          <w:p>
            <w:pPr>
              <w:pStyle w:val="961"/>
              <w:ind w:right="-142"/>
              <w:jc w:val="center"/>
              <w:spacing w:after="0" w:line="276" w:lineRule="auto"/>
              <w:rPr>
                <w:sz w:val="24"/>
                <w:szCs w:val="24"/>
              </w:rPr>
              <w:framePr w:hSpace="180" w:wrap="around" w:vAnchor="text" w:hAnchor="margin" w:y="35"/>
            </w:pPr>
            <w:r>
              <w:rPr>
                <w:sz w:val="24"/>
                <w:szCs w:val="24"/>
              </w:rPr>
              <w:t xml:space="preserve">7,3</w:t>
            </w:r>
            <w:r>
              <w:rPr>
                <w:sz w:val="24"/>
                <w:szCs w:val="24"/>
              </w:rPr>
            </w:r>
            <w:r>
              <w:rPr>
                <w:sz w:val="24"/>
                <w:szCs w:val="24"/>
              </w:rPr>
            </w:r>
          </w:p>
        </w:tc>
        <w:tc>
          <w:tcPr>
            <w:tcBorders>
              <w:top w:val="single" w:color="000000" w:sz="4" w:space="0"/>
              <w:left w:val="single" w:color="000000" w:sz="4" w:space="0"/>
              <w:bottom w:val="single" w:color="000000" w:sz="4" w:space="0"/>
              <w:right w:val="single" w:color="000000" w:sz="4" w:space="0"/>
            </w:tcBorders>
            <w:tcW w:w="1843" w:type="dxa"/>
            <w:vAlign w:val="center"/>
            <w:textDirection w:val="lrTb"/>
            <w:noWrap w:val="false"/>
          </w:tcPr>
          <w:p>
            <w:pPr>
              <w:pStyle w:val="961"/>
              <w:ind w:right="-142"/>
              <w:jc w:val="center"/>
              <w:spacing w:after="0" w:line="276" w:lineRule="auto"/>
              <w:rPr>
                <w:sz w:val="24"/>
                <w:szCs w:val="24"/>
              </w:rPr>
              <w:framePr w:hSpace="180" w:wrap="around" w:vAnchor="text" w:hAnchor="margin" w:y="35"/>
            </w:pPr>
            <w:r>
              <w:rPr>
                <w:sz w:val="24"/>
                <w:szCs w:val="24"/>
              </w:rPr>
              <w:t xml:space="preserve">6,8</w:t>
            </w:r>
            <w:r>
              <w:rPr>
                <w:sz w:val="24"/>
                <w:szCs w:val="24"/>
              </w:rPr>
            </w:r>
            <w:r>
              <w:rPr>
                <w:sz w:val="24"/>
                <w:szCs w:val="24"/>
              </w:rPr>
            </w:r>
          </w:p>
        </w:tc>
        <w:tc>
          <w:tcPr>
            <w:tcBorders>
              <w:top w:val="single" w:color="000000" w:sz="4" w:space="0"/>
              <w:left w:val="single" w:color="000000" w:sz="4" w:space="0"/>
              <w:bottom w:val="single" w:color="000000" w:sz="4" w:space="0"/>
              <w:right w:val="single" w:color="000000" w:sz="4" w:space="0"/>
            </w:tcBorders>
            <w:tcMar>
              <w:left w:w="0" w:type="dxa"/>
              <w:top w:w="0" w:type="dxa"/>
              <w:right w:w="170" w:type="dxa"/>
              <w:bottom w:w="0" w:type="dxa"/>
            </w:tcMar>
            <w:tcW w:w="2268" w:type="dxa"/>
            <w:vAlign w:val="center"/>
            <w:textDirection w:val="lrTb"/>
            <w:noWrap w:val="false"/>
          </w:tcPr>
          <w:p>
            <w:pPr>
              <w:pStyle w:val="961"/>
              <w:ind w:right="-142"/>
              <w:jc w:val="center"/>
              <w:spacing w:after="0" w:line="276" w:lineRule="auto"/>
              <w:rPr>
                <w:sz w:val="24"/>
                <w:szCs w:val="24"/>
              </w:rPr>
              <w:framePr w:hSpace="180" w:wrap="around" w:vAnchor="text" w:hAnchor="margin" w:y="35"/>
            </w:pPr>
            <w:r>
              <w:rPr>
                <w:sz w:val="24"/>
                <w:szCs w:val="24"/>
              </w:rPr>
              <w:t xml:space="preserve">-0,5</w:t>
            </w:r>
            <w:r>
              <w:rPr>
                <w:sz w:val="24"/>
                <w:szCs w:val="24"/>
              </w:rPr>
            </w:r>
            <w:r>
              <w:rPr>
                <w:sz w:val="24"/>
                <w:szCs w:val="24"/>
              </w:rP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cantSplit/>
          <w:trHeight w:val="495"/>
        </w:trPr>
        <w:tc>
          <w:tcPr>
            <w:tcBorders>
              <w:top w:val="single" w:color="000000" w:sz="4" w:space="0"/>
              <w:left w:val="single" w:color="000000" w:sz="4" w:space="0"/>
              <w:bottom w:val="single" w:color="000000" w:sz="4" w:space="0"/>
              <w:right w:val="single" w:color="000000" w:sz="4" w:space="0"/>
            </w:tcBorders>
            <w:tcW w:w="3369" w:type="dxa"/>
            <w:vAlign w:val="center"/>
            <w:textDirection w:val="lrTb"/>
            <w:noWrap w:val="false"/>
          </w:tcPr>
          <w:p>
            <w:pPr>
              <w:pStyle w:val="961"/>
              <w:ind w:right="-142"/>
              <w:spacing w:after="0" w:line="276" w:lineRule="auto"/>
              <w:rPr>
                <w:sz w:val="24"/>
                <w:szCs w:val="24"/>
              </w:rPr>
              <w:framePr w:hSpace="180" w:wrap="around" w:vAnchor="text" w:hAnchor="margin" w:y="35"/>
            </w:pPr>
            <w:r>
              <w:rPr>
                <w:sz w:val="24"/>
                <w:szCs w:val="24"/>
              </w:rPr>
              <w:t xml:space="preserve">Естественный прирост (+), убыль (-), человек</w:t>
            </w:r>
            <w:r>
              <w:rPr>
                <w:sz w:val="24"/>
                <w:szCs w:val="24"/>
              </w:rPr>
            </w:r>
            <w:r>
              <w:rPr>
                <w:sz w:val="24"/>
                <w:szCs w:val="24"/>
              </w:rPr>
            </w:r>
          </w:p>
        </w:tc>
        <w:tc>
          <w:tcPr>
            <w:tcBorders>
              <w:top w:val="single" w:color="000000" w:sz="4" w:space="0"/>
              <w:left w:val="single" w:color="000000" w:sz="4" w:space="0"/>
              <w:bottom w:val="single" w:color="000000" w:sz="4" w:space="0"/>
              <w:right w:val="single" w:color="000000" w:sz="4" w:space="0"/>
            </w:tcBorders>
            <w:tcW w:w="2126" w:type="dxa"/>
            <w:vAlign w:val="center"/>
            <w:textDirection w:val="lrTb"/>
            <w:noWrap w:val="false"/>
          </w:tcPr>
          <w:p>
            <w:pPr>
              <w:pStyle w:val="961"/>
              <w:ind w:right="-142"/>
              <w:jc w:val="center"/>
              <w:spacing w:after="0" w:line="276" w:lineRule="auto"/>
              <w:rPr>
                <w:sz w:val="24"/>
                <w:szCs w:val="24"/>
              </w:rPr>
              <w:framePr w:hSpace="180" w:wrap="around" w:vAnchor="text" w:hAnchor="margin" w:y="35"/>
            </w:pPr>
            <w:r>
              <w:rPr>
                <w:sz w:val="24"/>
                <w:szCs w:val="24"/>
              </w:rPr>
              <w:t xml:space="preserve">73</w:t>
            </w:r>
            <w:r>
              <w:rPr>
                <w:sz w:val="24"/>
                <w:szCs w:val="24"/>
              </w:rPr>
            </w:r>
            <w:r>
              <w:rPr>
                <w:sz w:val="24"/>
                <w:szCs w:val="24"/>
              </w:rPr>
            </w:r>
          </w:p>
        </w:tc>
        <w:tc>
          <w:tcPr>
            <w:tcBorders>
              <w:top w:val="single" w:color="000000" w:sz="4" w:space="0"/>
              <w:left w:val="single" w:color="000000" w:sz="4" w:space="0"/>
              <w:bottom w:val="single" w:color="000000" w:sz="4" w:space="0"/>
              <w:right w:val="single" w:color="000000" w:sz="4" w:space="0"/>
            </w:tcBorders>
            <w:tcW w:w="1843" w:type="dxa"/>
            <w:vAlign w:val="center"/>
            <w:textDirection w:val="lrTb"/>
            <w:noWrap w:val="false"/>
          </w:tcPr>
          <w:p>
            <w:pPr>
              <w:pStyle w:val="961"/>
              <w:ind w:right="-142"/>
              <w:jc w:val="center"/>
              <w:spacing w:after="0" w:line="276" w:lineRule="auto"/>
              <w:rPr>
                <w:sz w:val="24"/>
                <w:szCs w:val="24"/>
              </w:rPr>
              <w:framePr w:hSpace="180" w:wrap="around" w:vAnchor="text" w:hAnchor="margin" w:y="35"/>
            </w:pPr>
            <w:r>
              <w:rPr>
                <w:sz w:val="24"/>
                <w:szCs w:val="24"/>
              </w:rPr>
              <w:t xml:space="preserve">4</w:t>
            </w:r>
            <w:r>
              <w:rPr>
                <w:sz w:val="24"/>
                <w:szCs w:val="24"/>
              </w:rPr>
            </w:r>
            <w:r>
              <w:rPr>
                <w:sz w:val="24"/>
                <w:szCs w:val="24"/>
              </w:rPr>
            </w:r>
          </w:p>
        </w:tc>
        <w:tc>
          <w:tcPr>
            <w:tcBorders>
              <w:top w:val="single" w:color="000000" w:sz="4" w:space="0"/>
              <w:left w:val="single" w:color="000000" w:sz="4" w:space="0"/>
              <w:bottom w:val="single" w:color="000000" w:sz="4" w:space="0"/>
              <w:right w:val="single" w:color="000000" w:sz="4" w:space="0"/>
            </w:tcBorders>
            <w:tcMar>
              <w:left w:w="0" w:type="dxa"/>
              <w:top w:w="0" w:type="dxa"/>
              <w:right w:w="170" w:type="dxa"/>
              <w:bottom w:w="0" w:type="dxa"/>
            </w:tcMar>
            <w:tcW w:w="2268" w:type="dxa"/>
            <w:vAlign w:val="center"/>
            <w:textDirection w:val="lrTb"/>
            <w:noWrap w:val="false"/>
          </w:tcPr>
          <w:p>
            <w:pPr>
              <w:pStyle w:val="961"/>
              <w:ind w:right="-142"/>
              <w:jc w:val="center"/>
              <w:spacing w:after="0" w:line="276" w:lineRule="auto"/>
              <w:rPr>
                <w:sz w:val="24"/>
                <w:szCs w:val="24"/>
              </w:rPr>
              <w:framePr w:hSpace="180" w:wrap="around" w:vAnchor="text" w:hAnchor="margin" w:y="35"/>
            </w:pPr>
            <w:r>
              <w:rPr>
                <w:sz w:val="24"/>
                <w:szCs w:val="24"/>
              </w:rPr>
              <w:t xml:space="preserve">-69</w:t>
            </w:r>
            <w:r>
              <w:rPr>
                <w:sz w:val="24"/>
                <w:szCs w:val="24"/>
              </w:rPr>
            </w:r>
            <w:r>
              <w:rPr>
                <w:sz w:val="24"/>
                <w:szCs w:val="24"/>
              </w:rP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cantSplit/>
          <w:trHeight w:val="540"/>
        </w:trPr>
        <w:tc>
          <w:tcPr>
            <w:tcBorders>
              <w:top w:val="single" w:color="000000" w:sz="4" w:space="0"/>
              <w:left w:val="single" w:color="000000" w:sz="4" w:space="0"/>
              <w:bottom w:val="single" w:color="000000" w:sz="4" w:space="0"/>
              <w:right w:val="single" w:color="000000" w:sz="4" w:space="0"/>
            </w:tcBorders>
            <w:tcW w:w="3369" w:type="dxa"/>
            <w:vAlign w:val="center"/>
            <w:textDirection w:val="lrTb"/>
            <w:noWrap w:val="false"/>
          </w:tcPr>
          <w:p>
            <w:pPr>
              <w:pStyle w:val="961"/>
              <w:ind w:right="-142"/>
              <w:spacing w:after="0" w:line="276" w:lineRule="auto"/>
              <w:rPr>
                <w:sz w:val="24"/>
                <w:szCs w:val="24"/>
              </w:rPr>
              <w:framePr w:hSpace="180" w:wrap="around" w:vAnchor="text" w:hAnchor="margin" w:y="35"/>
            </w:pPr>
            <w:r>
              <w:rPr>
                <w:sz w:val="24"/>
                <w:szCs w:val="24"/>
              </w:rPr>
              <w:t xml:space="preserve">Миграционный  прирост (+),  убыль (-), человек</w:t>
            </w:r>
            <w:r>
              <w:rPr>
                <w:sz w:val="24"/>
                <w:szCs w:val="24"/>
              </w:rPr>
            </w:r>
            <w:r>
              <w:rPr>
                <w:sz w:val="24"/>
                <w:szCs w:val="24"/>
              </w:rPr>
            </w:r>
          </w:p>
        </w:tc>
        <w:tc>
          <w:tcPr>
            <w:tcBorders>
              <w:top w:val="single" w:color="000000" w:sz="4" w:space="0"/>
              <w:left w:val="single" w:color="000000" w:sz="4" w:space="0"/>
              <w:bottom w:val="single" w:color="000000" w:sz="4" w:space="0"/>
              <w:right w:val="single" w:color="000000" w:sz="4" w:space="0"/>
            </w:tcBorders>
            <w:tcW w:w="2126" w:type="dxa"/>
            <w:vAlign w:val="center"/>
            <w:textDirection w:val="lrTb"/>
            <w:noWrap w:val="false"/>
          </w:tcPr>
          <w:p>
            <w:pPr>
              <w:pStyle w:val="961"/>
              <w:ind w:right="-142"/>
              <w:jc w:val="center"/>
              <w:spacing w:after="0" w:line="276" w:lineRule="auto"/>
              <w:rPr>
                <w:sz w:val="24"/>
                <w:szCs w:val="24"/>
              </w:rPr>
              <w:framePr w:hSpace="180" w:wrap="around" w:vAnchor="text" w:hAnchor="margin" w:y="35"/>
            </w:pPr>
            <w:r>
              <w:rPr>
                <w:sz w:val="24"/>
                <w:szCs w:val="24"/>
              </w:rPr>
              <w:t xml:space="preserve">-392</w:t>
            </w:r>
            <w:r>
              <w:rPr>
                <w:sz w:val="24"/>
                <w:szCs w:val="24"/>
              </w:rPr>
            </w:r>
            <w:r>
              <w:rPr>
                <w:sz w:val="24"/>
                <w:szCs w:val="24"/>
              </w:rPr>
            </w:r>
          </w:p>
        </w:tc>
        <w:tc>
          <w:tcPr>
            <w:tcBorders>
              <w:top w:val="single" w:color="000000" w:sz="4" w:space="0"/>
              <w:left w:val="single" w:color="000000" w:sz="4" w:space="0"/>
              <w:bottom w:val="single" w:color="000000" w:sz="4" w:space="0"/>
              <w:right w:val="single" w:color="000000" w:sz="4" w:space="0"/>
            </w:tcBorders>
            <w:tcW w:w="1843" w:type="dxa"/>
            <w:vAlign w:val="center"/>
            <w:textDirection w:val="lrTb"/>
            <w:noWrap w:val="false"/>
          </w:tcPr>
          <w:p>
            <w:pPr>
              <w:pStyle w:val="961"/>
              <w:ind w:right="-142"/>
              <w:jc w:val="center"/>
              <w:spacing w:after="0" w:line="276" w:lineRule="auto"/>
              <w:rPr>
                <w:sz w:val="24"/>
                <w:szCs w:val="24"/>
              </w:rPr>
              <w:framePr w:hSpace="180" w:wrap="around" w:vAnchor="text" w:hAnchor="margin" w:y="35"/>
            </w:pPr>
            <w:r>
              <w:rPr>
                <w:sz w:val="24"/>
                <w:szCs w:val="24"/>
              </w:rPr>
              <w:t xml:space="preserve">-127</w:t>
            </w:r>
            <w:r>
              <w:rPr>
                <w:sz w:val="24"/>
                <w:szCs w:val="24"/>
              </w:rPr>
            </w:r>
            <w:r>
              <w:rPr>
                <w:sz w:val="24"/>
                <w:szCs w:val="24"/>
              </w:rPr>
            </w:r>
          </w:p>
        </w:tc>
        <w:tc>
          <w:tcPr>
            <w:tcBorders>
              <w:top w:val="single" w:color="000000" w:sz="4" w:space="0"/>
              <w:left w:val="single" w:color="000000" w:sz="4" w:space="0"/>
              <w:bottom w:val="single" w:color="000000" w:sz="4" w:space="0"/>
              <w:right w:val="single" w:color="000000" w:sz="4" w:space="0"/>
            </w:tcBorders>
            <w:tcMar>
              <w:left w:w="0" w:type="dxa"/>
              <w:top w:w="0" w:type="dxa"/>
              <w:right w:w="170" w:type="dxa"/>
              <w:bottom w:w="0" w:type="dxa"/>
            </w:tcMar>
            <w:tcW w:w="2268" w:type="dxa"/>
            <w:vAlign w:val="center"/>
            <w:textDirection w:val="lrTb"/>
            <w:noWrap w:val="false"/>
          </w:tcPr>
          <w:p>
            <w:pPr>
              <w:pStyle w:val="961"/>
              <w:ind w:right="-142"/>
              <w:jc w:val="center"/>
              <w:spacing w:after="0" w:line="276" w:lineRule="auto"/>
              <w:rPr>
                <w:sz w:val="24"/>
                <w:szCs w:val="24"/>
              </w:rPr>
              <w:framePr w:hSpace="180" w:wrap="around" w:vAnchor="text" w:hAnchor="margin" w:y="35"/>
            </w:pPr>
            <w:r>
              <w:rPr>
                <w:sz w:val="24"/>
                <w:szCs w:val="24"/>
              </w:rPr>
              <w:t xml:space="preserve">-265</w:t>
            </w:r>
            <w:r>
              <w:rPr>
                <w:sz w:val="24"/>
                <w:szCs w:val="24"/>
              </w:rPr>
            </w:r>
            <w:r>
              <w:rPr>
                <w:sz w:val="24"/>
                <w:szCs w:val="24"/>
              </w:rPr>
            </w:r>
          </w:p>
        </w:tc>
      </w:tr>
    </w:tbl>
    <w:p>
      <w:pPr>
        <w:pStyle w:val="934"/>
        <w:ind w:firstLine="720"/>
        <w:jc w:val="both"/>
        <w:spacing w:line="276" w:lineRule="auto"/>
        <w:rPr>
          <w:color w:val="000000" w:themeColor="text1"/>
          <w:sz w:val="24"/>
          <w:szCs w:val="24"/>
        </w:rPr>
      </w:pPr>
      <w:r>
        <w:rPr>
          <w:color w:val="ff0000"/>
          <w:sz w:val="24"/>
          <w:szCs w:val="24"/>
        </w:rPr>
      </w:r>
      <w:r>
        <w:rPr>
          <w:color w:val="000000" w:themeColor="text1"/>
          <w:sz w:val="24"/>
          <w:szCs w:val="24"/>
        </w:rPr>
      </w:r>
      <w:r>
        <w:rPr>
          <w:color w:val="000000" w:themeColor="text1"/>
          <w:sz w:val="24"/>
          <w:szCs w:val="24"/>
        </w:rPr>
      </w:r>
    </w:p>
    <w:p>
      <w:pPr>
        <w:pStyle w:val="934"/>
        <w:ind w:firstLine="720"/>
        <w:jc w:val="both"/>
        <w:spacing w:line="276" w:lineRule="auto"/>
        <w:rPr>
          <w:sz w:val="24"/>
          <w:szCs w:val="24"/>
        </w:rPr>
      </w:pPr>
      <w:r>
        <w:rPr>
          <w:sz w:val="24"/>
          <w:szCs w:val="24"/>
        </w:rPr>
        <w:t xml:space="preserve">Соотношение жителей города Белоярский и сельских поселений в границах Белоярского района – 69</w:t>
      </w:r>
      <w:r>
        <w:rPr>
          <w:sz w:val="24"/>
          <w:szCs w:val="24"/>
        </w:rPr>
        <w:t xml:space="preserve">,9</w:t>
      </w:r>
      <w:r>
        <w:rPr>
          <w:sz w:val="24"/>
          <w:szCs w:val="24"/>
        </w:rPr>
        <w:t xml:space="preserve">% и 30,</w:t>
      </w:r>
      <w:r>
        <w:rPr>
          <w:sz w:val="24"/>
          <w:szCs w:val="24"/>
        </w:rPr>
        <w:t xml:space="preserve">1</w:t>
      </w:r>
      <w:r>
        <w:rPr>
          <w:sz w:val="24"/>
          <w:szCs w:val="24"/>
        </w:rPr>
        <w:t xml:space="preserve">%, соответственно. </w:t>
      </w:r>
      <w:r>
        <w:rPr>
          <w:sz w:val="24"/>
          <w:szCs w:val="24"/>
        </w:rPr>
      </w:r>
      <w:r>
        <w:rPr>
          <w:sz w:val="24"/>
          <w:szCs w:val="24"/>
        </w:rPr>
      </w:r>
    </w:p>
    <w:p>
      <w:pPr>
        <w:pStyle w:val="934"/>
        <w:ind w:firstLine="720"/>
        <w:jc w:val="both"/>
        <w:spacing w:line="276" w:lineRule="auto"/>
        <w:rPr>
          <w:sz w:val="24"/>
          <w:szCs w:val="24"/>
        </w:rPr>
      </w:pPr>
      <w:r>
        <w:rPr>
          <w:sz w:val="24"/>
          <w:szCs w:val="24"/>
        </w:rPr>
        <w:t xml:space="preserve">На территории Белоярского района удельный вес мужчин и женщин </w:t>
      </w:r>
      <w:r>
        <w:rPr>
          <w:sz w:val="24"/>
          <w:szCs w:val="24"/>
        </w:rPr>
        <w:t xml:space="preserve">составляет</w:t>
      </w:r>
      <w:r>
        <w:rPr>
          <w:sz w:val="24"/>
          <w:szCs w:val="24"/>
        </w:rPr>
        <w:t xml:space="preserve">: </w:t>
      </w:r>
      <w:r>
        <w:rPr>
          <w:sz w:val="24"/>
          <w:szCs w:val="24"/>
        </w:rPr>
        <w:t xml:space="preserve">49,3</w:t>
      </w:r>
      <w:r>
        <w:rPr>
          <w:sz w:val="24"/>
          <w:szCs w:val="24"/>
        </w:rPr>
        <w:t xml:space="preserve">% от общего населения составляют мужчины, </w:t>
      </w:r>
      <w:r>
        <w:rPr>
          <w:sz w:val="24"/>
          <w:szCs w:val="24"/>
        </w:rPr>
        <w:t xml:space="preserve">50,7</w:t>
      </w:r>
      <w:r>
        <w:rPr>
          <w:sz w:val="24"/>
          <w:szCs w:val="24"/>
        </w:rPr>
        <w:t xml:space="preserve">% - женщины.</w:t>
      </w:r>
      <w:r>
        <w:rPr>
          <w:sz w:val="24"/>
          <w:szCs w:val="24"/>
        </w:rPr>
      </w:r>
      <w:r>
        <w:rPr>
          <w:sz w:val="24"/>
          <w:szCs w:val="24"/>
        </w:rPr>
      </w:r>
    </w:p>
    <w:p>
      <w:pPr>
        <w:pStyle w:val="934"/>
        <w:ind w:firstLine="720"/>
        <w:jc w:val="both"/>
        <w:spacing w:line="276" w:lineRule="auto"/>
        <w:rPr>
          <w:sz w:val="24"/>
          <w:szCs w:val="24"/>
        </w:rPr>
      </w:pPr>
      <w:r>
        <w:rPr>
          <w:sz w:val="24"/>
          <w:szCs w:val="24"/>
        </w:rPr>
        <w:t xml:space="preserve">Согласно переписи населения с</w:t>
      </w:r>
      <w:r>
        <w:rPr>
          <w:sz w:val="24"/>
          <w:szCs w:val="24"/>
        </w:rPr>
        <w:t xml:space="preserve">редний возраст </w:t>
      </w:r>
      <w:r>
        <w:rPr>
          <w:sz w:val="24"/>
          <w:szCs w:val="24"/>
        </w:rPr>
        <w:t xml:space="preserve">жителей</w:t>
      </w:r>
      <w:r>
        <w:rPr>
          <w:sz w:val="24"/>
          <w:szCs w:val="24"/>
        </w:rPr>
        <w:t xml:space="preserve"> Бе</w:t>
      </w:r>
      <w:r>
        <w:rPr>
          <w:sz w:val="24"/>
          <w:szCs w:val="24"/>
        </w:rPr>
        <w:t xml:space="preserve">лоярского района составляет 35,2</w:t>
      </w:r>
      <w:r>
        <w:rPr>
          <w:sz w:val="24"/>
          <w:szCs w:val="24"/>
        </w:rPr>
        <w:t xml:space="preserve"> лет.</w:t>
      </w:r>
      <w:r>
        <w:rPr>
          <w:sz w:val="24"/>
          <w:szCs w:val="24"/>
        </w:rPr>
      </w:r>
      <w:r>
        <w:rPr>
          <w:sz w:val="24"/>
          <w:szCs w:val="24"/>
        </w:rPr>
      </w:r>
    </w:p>
    <w:p>
      <w:pPr>
        <w:pStyle w:val="934"/>
        <w:spacing w:line="276" w:lineRule="auto"/>
        <w:rPr>
          <w:b/>
          <w:color w:val="000000" w:themeColor="text1"/>
          <w:sz w:val="24"/>
          <w:szCs w:val="24"/>
        </w:rPr>
        <w:outlineLvl w:val="0"/>
      </w:pPr>
      <w:r>
        <w:rPr>
          <w:b/>
          <w:color w:val="ff0000"/>
          <w:sz w:val="24"/>
          <w:szCs w:val="24"/>
        </w:rPr>
      </w:r>
      <w:r>
        <w:rPr>
          <w:b/>
          <w:color w:val="000000" w:themeColor="text1"/>
          <w:sz w:val="24"/>
          <w:szCs w:val="24"/>
        </w:rPr>
      </w:r>
      <w:r>
        <w:rPr>
          <w:b/>
          <w:color w:val="000000" w:themeColor="text1"/>
          <w:sz w:val="24"/>
          <w:szCs w:val="24"/>
        </w:rPr>
      </w:r>
    </w:p>
    <w:p>
      <w:pPr>
        <w:pStyle w:val="934"/>
        <w:jc w:val="center"/>
        <w:spacing w:line="276" w:lineRule="auto"/>
        <w:rPr>
          <w:b/>
          <w:sz w:val="24"/>
          <w:szCs w:val="24"/>
        </w:rPr>
        <w:outlineLvl w:val="0"/>
      </w:pPr>
      <w:r>
        <w:rPr>
          <w:b/>
          <w:sz w:val="24"/>
          <w:szCs w:val="24"/>
        </w:rPr>
        <w:t xml:space="preserve">2. ЭКОНОМИЧЕСКОЕ РАЗВИТИЕ</w:t>
      </w:r>
      <w:r>
        <w:rPr>
          <w:b/>
          <w:sz w:val="24"/>
          <w:szCs w:val="24"/>
        </w:rPr>
      </w:r>
      <w:r>
        <w:rPr>
          <w:b/>
          <w:sz w:val="24"/>
          <w:szCs w:val="24"/>
        </w:rPr>
      </w:r>
    </w:p>
    <w:p>
      <w:pPr>
        <w:pStyle w:val="934"/>
        <w:rPr>
          <w:b/>
          <w:sz w:val="24"/>
          <w:szCs w:val="24"/>
        </w:rPr>
        <w:outlineLvl w:val="0"/>
      </w:pPr>
      <w:r>
        <w:rPr>
          <w:b/>
          <w:sz w:val="24"/>
          <w:szCs w:val="24"/>
        </w:rPr>
      </w:r>
      <w:r>
        <w:rPr>
          <w:b/>
          <w:sz w:val="24"/>
          <w:szCs w:val="24"/>
        </w:rPr>
      </w:r>
      <w:r>
        <w:rPr>
          <w:b/>
          <w:sz w:val="24"/>
          <w:szCs w:val="24"/>
        </w:rPr>
      </w:r>
    </w:p>
    <w:p>
      <w:pPr>
        <w:pStyle w:val="934"/>
        <w:spacing w:line="276" w:lineRule="auto"/>
        <w:rPr>
          <w:b/>
          <w:i/>
          <w:sz w:val="24"/>
          <w:szCs w:val="24"/>
        </w:rPr>
      </w:pPr>
      <w:r>
        <w:rPr>
          <w:b/>
          <w:i/>
          <w:sz w:val="24"/>
          <w:szCs w:val="24"/>
        </w:rPr>
        <w:t xml:space="preserve">Промышленность</w:t>
      </w:r>
      <w:r>
        <w:rPr>
          <w:b/>
          <w:i/>
          <w:sz w:val="24"/>
          <w:szCs w:val="24"/>
        </w:rPr>
      </w:r>
      <w:r>
        <w:rPr>
          <w:b/>
          <w:i/>
          <w:sz w:val="24"/>
          <w:szCs w:val="24"/>
        </w:rPr>
      </w:r>
    </w:p>
    <w:p>
      <w:pPr>
        <w:pStyle w:val="934"/>
        <w:ind w:firstLine="720"/>
        <w:jc w:val="both"/>
        <w:spacing w:line="276" w:lineRule="auto"/>
        <w:tabs>
          <w:tab w:val="left" w:pos="720" w:leader="none"/>
        </w:tabs>
        <w:rPr>
          <w:sz w:val="24"/>
          <w:szCs w:val="24"/>
        </w:rPr>
      </w:pPr>
      <w:r>
        <w:rPr>
          <w:sz w:val="24"/>
          <w:szCs w:val="24"/>
        </w:rPr>
        <w:t xml:space="preserve">Объем отгруженных товаров собственного производства, выполненных работ и услуг собственными силами производителей промышленной продукции (по крупным и </w:t>
      </w:r>
      <w:r>
        <w:rPr>
          <w:sz w:val="24"/>
          <w:szCs w:val="24"/>
        </w:rPr>
        <w:t xml:space="preserve">средним предприятиям) за </w:t>
      </w:r>
      <w:r>
        <w:rPr>
          <w:sz w:val="24"/>
          <w:szCs w:val="24"/>
        </w:rPr>
        <w:t xml:space="preserve">2024</w:t>
      </w:r>
      <w:r>
        <w:rPr>
          <w:sz w:val="24"/>
          <w:szCs w:val="24"/>
        </w:rPr>
        <w:t xml:space="preserve"> год</w:t>
      </w:r>
      <w:r>
        <w:rPr>
          <w:sz w:val="24"/>
          <w:szCs w:val="24"/>
        </w:rPr>
        <w:t xml:space="preserve"> оценочно </w:t>
      </w:r>
      <w:r>
        <w:rPr>
          <w:sz w:val="24"/>
          <w:szCs w:val="24"/>
        </w:rPr>
        <w:t xml:space="preserve">состави</w:t>
      </w:r>
      <w:r>
        <w:rPr>
          <w:sz w:val="24"/>
          <w:szCs w:val="24"/>
        </w:rPr>
        <w:t xml:space="preserve">л</w:t>
      </w:r>
      <w:r>
        <w:rPr>
          <w:sz w:val="24"/>
          <w:szCs w:val="24"/>
        </w:rPr>
        <w:t xml:space="preserve"> </w:t>
      </w:r>
      <w:r>
        <w:rPr>
          <w:sz w:val="24"/>
          <w:szCs w:val="24"/>
        </w:rPr>
        <w:t xml:space="preserve">44 613,2</w:t>
      </w:r>
      <w:r>
        <w:rPr>
          <w:sz w:val="24"/>
          <w:szCs w:val="24"/>
        </w:rPr>
        <w:t xml:space="preserve"> млн. рублей, индекс промышленного производства – </w:t>
      </w:r>
      <w:r>
        <w:rPr>
          <w:sz w:val="24"/>
          <w:szCs w:val="24"/>
        </w:rPr>
        <w:t xml:space="preserve">77,5</w:t>
      </w:r>
      <w:r>
        <w:rPr>
          <w:sz w:val="24"/>
          <w:szCs w:val="24"/>
        </w:rPr>
        <w:t xml:space="preserve">% к </w:t>
      </w:r>
      <w:r>
        <w:rPr>
          <w:sz w:val="24"/>
          <w:szCs w:val="24"/>
        </w:rPr>
        <w:t xml:space="preserve">2023</w:t>
      </w:r>
      <w:r>
        <w:rPr>
          <w:sz w:val="24"/>
          <w:szCs w:val="24"/>
        </w:rPr>
        <w:t xml:space="preserve"> году</w:t>
      </w:r>
      <w:r>
        <w:rPr>
          <w:sz w:val="24"/>
          <w:szCs w:val="24"/>
        </w:rPr>
        <w:t xml:space="preserve">. </w:t>
      </w:r>
      <w:r>
        <w:rPr>
          <w:sz w:val="24"/>
          <w:szCs w:val="24"/>
        </w:rPr>
      </w:r>
      <w:r>
        <w:rPr>
          <w:sz w:val="24"/>
          <w:szCs w:val="24"/>
        </w:rPr>
      </w:r>
    </w:p>
    <w:p>
      <w:pPr>
        <w:pStyle w:val="934"/>
        <w:ind w:firstLine="720"/>
        <w:jc w:val="both"/>
        <w:spacing w:line="276" w:lineRule="auto"/>
        <w:tabs>
          <w:tab w:val="left" w:pos="720" w:leader="none"/>
        </w:tabs>
        <w:rPr>
          <w:sz w:val="24"/>
          <w:szCs w:val="24"/>
        </w:rPr>
      </w:pPr>
      <w:r>
        <w:rPr>
          <w:sz w:val="24"/>
          <w:szCs w:val="24"/>
        </w:rPr>
        <w:t xml:space="preserve">Структура промышленного производства по видам отраслевой деятельности в оценке за </w:t>
      </w:r>
      <w:r>
        <w:rPr>
          <w:sz w:val="24"/>
          <w:szCs w:val="24"/>
        </w:rPr>
        <w:t xml:space="preserve">2024</w:t>
      </w:r>
      <w:r>
        <w:rPr>
          <w:sz w:val="24"/>
          <w:szCs w:val="24"/>
        </w:rPr>
        <w:t xml:space="preserve"> год</w:t>
      </w:r>
      <w:r>
        <w:rPr>
          <w:sz w:val="24"/>
          <w:szCs w:val="24"/>
        </w:rPr>
        <w:t xml:space="preserve"> выглядит следующим образом: </w:t>
      </w:r>
      <w:r>
        <w:rPr>
          <w:sz w:val="24"/>
          <w:szCs w:val="24"/>
        </w:rPr>
      </w:r>
      <w:r>
        <w:rPr>
          <w:sz w:val="24"/>
          <w:szCs w:val="24"/>
        </w:rPr>
      </w:r>
    </w:p>
    <w:p>
      <w:pPr>
        <w:pStyle w:val="934"/>
        <w:numPr>
          <w:ilvl w:val="0"/>
          <w:numId w:val="2"/>
        </w:numPr>
        <w:ind w:left="0" w:firstLine="709"/>
        <w:jc w:val="both"/>
        <w:spacing w:line="276" w:lineRule="auto"/>
        <w:tabs>
          <w:tab w:val="left" w:pos="993" w:leader="none"/>
          <w:tab w:val="left" w:pos="7938" w:leader="none"/>
        </w:tabs>
        <w:rPr>
          <w:sz w:val="24"/>
          <w:szCs w:val="24"/>
        </w:rPr>
      </w:pPr>
      <w:r>
        <w:rPr>
          <w:sz w:val="24"/>
          <w:szCs w:val="24"/>
        </w:rPr>
        <w:t xml:space="preserve">Д</w:t>
      </w:r>
      <w:r>
        <w:rPr>
          <w:sz w:val="24"/>
          <w:szCs w:val="24"/>
        </w:rPr>
        <w:t xml:space="preserve">обыча полезных</w:t>
      </w:r>
      <w:r>
        <w:rPr>
          <w:sz w:val="24"/>
          <w:szCs w:val="24"/>
        </w:rPr>
        <w:t xml:space="preserve"> ископаемых – 94</w:t>
      </w:r>
      <w:r>
        <w:rPr>
          <w:sz w:val="24"/>
          <w:szCs w:val="24"/>
        </w:rPr>
        <w:t xml:space="preserve">,4</w:t>
      </w:r>
      <w:r>
        <w:rPr>
          <w:sz w:val="24"/>
          <w:szCs w:val="24"/>
        </w:rPr>
        <w:t xml:space="preserve">%;</w:t>
      </w:r>
      <w:r>
        <w:rPr>
          <w:sz w:val="24"/>
          <w:szCs w:val="24"/>
        </w:rPr>
      </w:r>
      <w:r>
        <w:rPr>
          <w:sz w:val="24"/>
          <w:szCs w:val="24"/>
        </w:rPr>
      </w:r>
    </w:p>
    <w:p>
      <w:pPr>
        <w:pStyle w:val="934"/>
        <w:numPr>
          <w:ilvl w:val="0"/>
          <w:numId w:val="2"/>
        </w:numPr>
        <w:ind w:left="0" w:firstLine="709"/>
        <w:jc w:val="both"/>
        <w:spacing w:line="276" w:lineRule="auto"/>
        <w:tabs>
          <w:tab w:val="left" w:pos="993" w:leader="none"/>
          <w:tab w:val="left" w:pos="7938" w:leader="none"/>
        </w:tabs>
        <w:rPr>
          <w:sz w:val="24"/>
          <w:szCs w:val="24"/>
        </w:rPr>
      </w:pPr>
      <w:r>
        <w:rPr>
          <w:sz w:val="24"/>
          <w:szCs w:val="24"/>
        </w:rPr>
        <w:t xml:space="preserve">О</w:t>
      </w:r>
      <w:r>
        <w:rPr>
          <w:sz w:val="24"/>
          <w:szCs w:val="24"/>
        </w:rPr>
        <w:t xml:space="preserve">брабатывающие произ</w:t>
      </w:r>
      <w:r>
        <w:rPr>
          <w:sz w:val="24"/>
          <w:szCs w:val="24"/>
        </w:rPr>
        <w:t xml:space="preserve">водства – 1,2</w:t>
      </w:r>
      <w:r>
        <w:rPr>
          <w:sz w:val="24"/>
          <w:szCs w:val="24"/>
        </w:rPr>
        <w:t xml:space="preserve">%;</w:t>
      </w:r>
      <w:r>
        <w:rPr>
          <w:sz w:val="24"/>
          <w:szCs w:val="24"/>
        </w:rPr>
      </w:r>
      <w:r>
        <w:rPr>
          <w:sz w:val="24"/>
          <w:szCs w:val="24"/>
        </w:rPr>
      </w:r>
    </w:p>
    <w:p>
      <w:pPr>
        <w:pStyle w:val="934"/>
        <w:numPr>
          <w:ilvl w:val="0"/>
          <w:numId w:val="2"/>
        </w:numPr>
        <w:ind w:left="0" w:firstLine="709"/>
        <w:jc w:val="both"/>
        <w:spacing w:line="276" w:lineRule="auto"/>
        <w:tabs>
          <w:tab w:val="left" w:pos="993" w:leader="none"/>
          <w:tab w:val="left" w:pos="7938" w:leader="none"/>
        </w:tabs>
        <w:rPr>
          <w:sz w:val="24"/>
          <w:szCs w:val="24"/>
        </w:rPr>
      </w:pPr>
      <w:r>
        <w:rPr>
          <w:sz w:val="24"/>
          <w:szCs w:val="24"/>
        </w:rPr>
        <w:t xml:space="preserve">Обеспечение электрической энергией, газом и паро</w:t>
      </w:r>
      <w:r>
        <w:rPr>
          <w:sz w:val="24"/>
          <w:szCs w:val="24"/>
        </w:rPr>
        <w:t xml:space="preserve">м,</w:t>
      </w:r>
      <w:r>
        <w:rPr>
          <w:sz w:val="24"/>
          <w:szCs w:val="24"/>
        </w:rPr>
        <w:t xml:space="preserve"> кондиционирование воздуха – </w:t>
      </w:r>
      <w:r>
        <w:rPr>
          <w:sz w:val="24"/>
          <w:szCs w:val="24"/>
        </w:rPr>
        <w:t xml:space="preserve">4,0</w:t>
      </w:r>
      <w:r>
        <w:rPr>
          <w:sz w:val="24"/>
          <w:szCs w:val="24"/>
        </w:rPr>
        <w:t xml:space="preserve">%;</w:t>
      </w:r>
      <w:r>
        <w:rPr>
          <w:sz w:val="24"/>
          <w:szCs w:val="24"/>
        </w:rPr>
      </w:r>
      <w:r>
        <w:rPr>
          <w:sz w:val="24"/>
          <w:szCs w:val="24"/>
        </w:rPr>
      </w:r>
    </w:p>
    <w:p>
      <w:pPr>
        <w:pStyle w:val="934"/>
        <w:numPr>
          <w:ilvl w:val="0"/>
          <w:numId w:val="2"/>
        </w:numPr>
        <w:ind w:left="0" w:firstLine="709"/>
        <w:jc w:val="both"/>
        <w:spacing w:line="276" w:lineRule="auto"/>
        <w:tabs>
          <w:tab w:val="left" w:pos="993" w:leader="none"/>
          <w:tab w:val="left" w:pos="7938" w:leader="none"/>
        </w:tabs>
        <w:rPr>
          <w:sz w:val="24"/>
          <w:szCs w:val="24"/>
        </w:rPr>
      </w:pPr>
      <w:r>
        <w:rPr>
          <w:sz w:val="24"/>
          <w:szCs w:val="24"/>
        </w:rPr>
        <w:t xml:space="preserve">Водоснабжение; водоотведение, организация сбора и утилизации отходов, деятельность</w:t>
      </w:r>
      <w:r>
        <w:rPr>
          <w:sz w:val="24"/>
          <w:szCs w:val="24"/>
        </w:rPr>
        <w:t xml:space="preserve"> по ликвидации загрязнений – 0,4</w:t>
      </w:r>
      <w:r>
        <w:rPr>
          <w:sz w:val="24"/>
          <w:szCs w:val="24"/>
        </w:rPr>
        <w:t xml:space="preserve">%.</w:t>
      </w:r>
      <w:r>
        <w:rPr>
          <w:sz w:val="24"/>
          <w:szCs w:val="24"/>
        </w:rPr>
      </w:r>
      <w:r>
        <w:rPr>
          <w:sz w:val="24"/>
          <w:szCs w:val="24"/>
        </w:rPr>
      </w:r>
    </w:p>
    <w:p>
      <w:pPr>
        <w:pStyle w:val="934"/>
        <w:ind w:firstLine="709"/>
        <w:jc w:val="both"/>
        <w:spacing w:line="276" w:lineRule="auto"/>
        <w:rPr>
          <w:color w:val="ff0000"/>
          <w:sz w:val="24"/>
          <w:szCs w:val="24"/>
        </w:rPr>
      </w:pPr>
      <w:r>
        <w:rPr>
          <w:sz w:val="24"/>
          <w:szCs w:val="24"/>
        </w:rPr>
        <w:t xml:space="preserve">Наибольший удельный вес в промышленности Белоярского района занимает нефтедобывающая отрасль</w:t>
      </w:r>
      <w:r>
        <w:rPr>
          <w:sz w:val="24"/>
          <w:szCs w:val="24"/>
        </w:rPr>
        <w:t xml:space="preserve">. Объем отгруженных товаров собственного производства, выполненных работ и услуг собственными силами производителей промышленной продукции (по крупным и средним предприятиям) в нефтедобывающей отрасли за </w:t>
      </w:r>
      <w:r>
        <w:rPr>
          <w:sz w:val="24"/>
          <w:szCs w:val="24"/>
        </w:rPr>
        <w:t xml:space="preserve">2</w:t>
      </w:r>
      <w:r>
        <w:rPr>
          <w:sz w:val="24"/>
          <w:szCs w:val="24"/>
        </w:rPr>
        <w:t xml:space="preserve">024</w:t>
      </w:r>
      <w:r>
        <w:rPr>
          <w:sz w:val="24"/>
          <w:szCs w:val="24"/>
        </w:rPr>
        <w:t xml:space="preserve"> </w:t>
      </w:r>
      <w:r>
        <w:rPr>
          <w:sz w:val="24"/>
          <w:szCs w:val="24"/>
        </w:rPr>
        <w:t xml:space="preserve">год</w:t>
      </w:r>
      <w:r>
        <w:rPr>
          <w:sz w:val="24"/>
          <w:szCs w:val="24"/>
        </w:rPr>
        <w:t xml:space="preserve"> </w:t>
      </w:r>
      <w:r>
        <w:rPr>
          <w:sz w:val="24"/>
          <w:szCs w:val="24"/>
        </w:rPr>
        <w:t xml:space="preserve">оценочно составил </w:t>
      </w:r>
      <w:r>
        <w:rPr>
          <w:sz w:val="24"/>
          <w:szCs w:val="24"/>
        </w:rPr>
        <w:t xml:space="preserve">42 115,8</w:t>
      </w:r>
      <w:r>
        <w:rPr>
          <w:sz w:val="24"/>
          <w:szCs w:val="24"/>
        </w:rPr>
        <w:t xml:space="preserve"> млн. рублей, индекс производства – </w:t>
      </w:r>
      <w:r>
        <w:rPr>
          <w:sz w:val="24"/>
          <w:szCs w:val="24"/>
        </w:rPr>
        <w:t xml:space="preserve">76,6% к</w:t>
      </w:r>
      <w:r>
        <w:rPr>
          <w:sz w:val="24"/>
          <w:szCs w:val="24"/>
        </w:rPr>
        <w:t xml:space="preserve"> </w:t>
      </w:r>
      <w:r>
        <w:rPr>
          <w:sz w:val="24"/>
          <w:szCs w:val="24"/>
        </w:rPr>
        <w:t xml:space="preserve">2023 году</w:t>
      </w:r>
      <w:r>
        <w:rPr>
          <w:sz w:val="24"/>
          <w:szCs w:val="24"/>
        </w:rPr>
        <w:t xml:space="preserve">.</w:t>
      </w:r>
      <w:r>
        <w:rPr>
          <w:color w:val="ff0000"/>
          <w:sz w:val="24"/>
          <w:szCs w:val="24"/>
        </w:rPr>
        <w:t xml:space="preserve"> </w:t>
      </w:r>
      <w:r>
        <w:rPr>
          <w:color w:val="ff0000"/>
          <w:sz w:val="24"/>
          <w:szCs w:val="24"/>
        </w:rPr>
      </w:r>
      <w:r>
        <w:rPr>
          <w:color w:val="ff0000"/>
          <w:sz w:val="24"/>
          <w:szCs w:val="24"/>
        </w:rPr>
      </w:r>
    </w:p>
    <w:p>
      <w:pPr>
        <w:pStyle w:val="934"/>
        <w:ind w:firstLine="709"/>
        <w:jc w:val="both"/>
        <w:spacing w:line="276" w:lineRule="auto"/>
        <w:rPr>
          <w:sz w:val="24"/>
          <w:szCs w:val="24"/>
        </w:rPr>
      </w:pPr>
      <w:r>
        <w:rPr>
          <w:bCs/>
          <w:sz w:val="24"/>
          <w:szCs w:val="24"/>
        </w:rPr>
        <w:t xml:space="preserve">О</w:t>
      </w:r>
      <w:r>
        <w:rPr>
          <w:bCs/>
          <w:sz w:val="24"/>
          <w:szCs w:val="24"/>
        </w:rPr>
        <w:t xml:space="preserve">бъем добычи нефти на территории Белоярского района по предварительным данным </w:t>
      </w:r>
      <w:r>
        <w:rPr>
          <w:bCs/>
          <w:sz w:val="24"/>
          <w:szCs w:val="24"/>
        </w:rPr>
        <w:t xml:space="preserve">за </w:t>
      </w:r>
      <w:r>
        <w:rPr>
          <w:bCs/>
          <w:sz w:val="24"/>
          <w:szCs w:val="24"/>
        </w:rPr>
        <w:t xml:space="preserve">2024</w:t>
      </w:r>
      <w:r>
        <w:rPr>
          <w:bCs/>
          <w:sz w:val="24"/>
          <w:szCs w:val="24"/>
        </w:rPr>
        <w:t xml:space="preserve"> год </w:t>
      </w:r>
      <w:r>
        <w:rPr>
          <w:sz w:val="24"/>
          <w:szCs w:val="24"/>
        </w:rPr>
        <w:t xml:space="preserve">составил </w:t>
      </w:r>
      <w:r>
        <w:rPr>
          <w:sz w:val="24"/>
          <w:szCs w:val="24"/>
        </w:rPr>
        <w:t xml:space="preserve">883,2</w:t>
      </w:r>
      <w:r>
        <w:rPr>
          <w:sz w:val="24"/>
          <w:szCs w:val="24"/>
        </w:rPr>
        <w:t xml:space="preserve"> тыс</w:t>
      </w:r>
      <w:r>
        <w:rPr>
          <w:sz w:val="24"/>
          <w:szCs w:val="24"/>
        </w:rPr>
        <w:t xml:space="preserve">.</w:t>
      </w:r>
      <w:r>
        <w:rPr>
          <w:sz w:val="24"/>
          <w:szCs w:val="24"/>
        </w:rPr>
        <w:t xml:space="preserve"> тонн</w:t>
      </w:r>
      <w:r>
        <w:rPr>
          <w:sz w:val="24"/>
          <w:szCs w:val="24"/>
        </w:rPr>
        <w:t xml:space="preserve">. Добычу нефти на территории Белоярского района осуществляют </w:t>
      </w:r>
      <w:r>
        <w:rPr>
          <w:sz w:val="24"/>
          <w:szCs w:val="24"/>
        </w:rPr>
        <w:t xml:space="preserve">ООО «ЛУКОЙЛ-Западная Сибирь</w:t>
      </w:r>
      <w:r>
        <w:rPr>
          <w:sz w:val="24"/>
          <w:szCs w:val="24"/>
        </w:rPr>
        <w:t xml:space="preserve">»</w:t>
      </w:r>
      <w:r>
        <w:rPr>
          <w:sz w:val="24"/>
          <w:szCs w:val="24"/>
        </w:rPr>
        <w:t xml:space="preserve"> </w:t>
      </w:r>
      <w:r>
        <w:rPr>
          <w:sz w:val="24"/>
          <w:szCs w:val="24"/>
        </w:rPr>
        <w:t xml:space="preserve">и ПАО «Сургутнефтегаз»</w:t>
      </w:r>
      <w:r>
        <w:rPr>
          <w:sz w:val="24"/>
          <w:szCs w:val="24"/>
        </w:rPr>
        <w:t xml:space="preserve">.</w:t>
      </w:r>
      <w:r>
        <w:rPr>
          <w:sz w:val="24"/>
          <w:szCs w:val="24"/>
        </w:rPr>
      </w:r>
      <w:r>
        <w:rPr>
          <w:sz w:val="24"/>
          <w:szCs w:val="24"/>
        </w:rPr>
      </w:r>
    </w:p>
    <w:p>
      <w:pPr>
        <w:pStyle w:val="934"/>
        <w:ind w:firstLine="708"/>
        <w:jc w:val="both"/>
        <w:spacing w:line="276" w:lineRule="auto"/>
        <w:rPr>
          <w:sz w:val="24"/>
          <w:szCs w:val="24"/>
        </w:rPr>
      </w:pPr>
      <w:r>
        <w:rPr>
          <w:sz w:val="24"/>
          <w:szCs w:val="24"/>
        </w:rPr>
        <w:t xml:space="preserve">Ежегодно в рамках соци</w:t>
      </w:r>
      <w:r>
        <w:rPr>
          <w:sz w:val="24"/>
          <w:szCs w:val="24"/>
        </w:rPr>
        <w:t xml:space="preserve">ального партнерства между администрацией     Белоярского района и предприятиями топливно-энергетического комплекса заключаются соглашения о социально-экономическом сотрудничестве. По реализации заключенных соглашений с предприятиями-недропользователями за </w:t>
      </w:r>
      <w:r>
        <w:rPr>
          <w:sz w:val="24"/>
          <w:szCs w:val="24"/>
        </w:rPr>
        <w:t xml:space="preserve">2024 год</w:t>
      </w:r>
      <w:r>
        <w:rPr>
          <w:sz w:val="24"/>
          <w:szCs w:val="24"/>
        </w:rPr>
        <w:t xml:space="preserve"> в бюджет Белоярского района поступило</w:t>
      </w:r>
      <w:r>
        <w:rPr>
          <w:sz w:val="24"/>
          <w:szCs w:val="24"/>
        </w:rPr>
        <w:t xml:space="preserve"> 55</w:t>
      </w:r>
      <w:r>
        <w:rPr>
          <w:sz w:val="24"/>
          <w:szCs w:val="24"/>
        </w:rPr>
        <w:t xml:space="preserve">,7</w:t>
      </w:r>
      <w:r>
        <w:rPr>
          <w:sz w:val="24"/>
          <w:szCs w:val="24"/>
        </w:rPr>
        <w:t xml:space="preserve"> млн. рублей. </w:t>
      </w:r>
      <w:r>
        <w:rPr>
          <w:sz w:val="24"/>
          <w:szCs w:val="24"/>
        </w:rPr>
      </w:r>
      <w:r>
        <w:rPr>
          <w:sz w:val="24"/>
          <w:szCs w:val="24"/>
        </w:rPr>
      </w:r>
    </w:p>
    <w:p>
      <w:pPr>
        <w:pStyle w:val="934"/>
        <w:ind w:firstLine="708"/>
        <w:jc w:val="both"/>
        <w:spacing w:line="276" w:lineRule="auto"/>
        <w:rPr>
          <w:sz w:val="24"/>
          <w:szCs w:val="24"/>
        </w:rPr>
      </w:pPr>
      <w:r>
        <w:rPr>
          <w:sz w:val="24"/>
          <w:szCs w:val="24"/>
        </w:rPr>
        <w:t xml:space="preserve">Кроме того, по результатам Конкурса социальных и культурных проектов публичного акционерного общ</w:t>
      </w:r>
      <w:r>
        <w:rPr>
          <w:sz w:val="24"/>
          <w:szCs w:val="24"/>
        </w:rPr>
        <w:t xml:space="preserve">ества «ЛУКОЙЛ» в Ханты-Мансийском автономном округе – Югре, Ямало-Ненецком автономном округе и юге Тюменской области в           2024 году три организации Белоярского района одержали победу и получили финансовую поддержку в общем размере 1,305 млн. рублей:</w:t>
      </w:r>
      <w:r>
        <w:rPr>
          <w:sz w:val="24"/>
          <w:szCs w:val="24"/>
        </w:rPr>
      </w:r>
      <w:r>
        <w:rPr>
          <w:sz w:val="24"/>
          <w:szCs w:val="24"/>
        </w:rPr>
      </w:r>
    </w:p>
    <w:p>
      <w:pPr>
        <w:pStyle w:val="934"/>
        <w:numPr>
          <w:ilvl w:val="0"/>
          <w:numId w:val="40"/>
        </w:numPr>
        <w:ind w:left="0" w:firstLine="709"/>
        <w:jc w:val="both"/>
        <w:spacing w:line="276" w:lineRule="auto"/>
        <w:tabs>
          <w:tab w:val="left" w:pos="993" w:leader="none"/>
        </w:tabs>
        <w:rPr>
          <w:sz w:val="24"/>
          <w:szCs w:val="24"/>
        </w:rPr>
      </w:pPr>
      <w:r>
        <w:rPr>
          <w:sz w:val="24"/>
          <w:szCs w:val="24"/>
        </w:rPr>
        <w:t xml:space="preserve">муниципальное автономное учреждение культуры Белоярского района «Центр культуры и досуга, концертный зал «Камертон» в номинации «Духовность и культура» (проект «Военно-патриотический фестиваль «Эхо войны»);</w:t>
      </w:r>
      <w:r>
        <w:rPr>
          <w:sz w:val="24"/>
          <w:szCs w:val="24"/>
        </w:rPr>
      </w:r>
      <w:r>
        <w:rPr>
          <w:sz w:val="24"/>
          <w:szCs w:val="24"/>
        </w:rPr>
      </w:r>
    </w:p>
    <w:p>
      <w:pPr>
        <w:pStyle w:val="934"/>
        <w:numPr>
          <w:ilvl w:val="0"/>
          <w:numId w:val="40"/>
        </w:numPr>
        <w:ind w:left="0" w:firstLine="709"/>
        <w:jc w:val="both"/>
        <w:spacing w:line="276" w:lineRule="auto"/>
        <w:tabs>
          <w:tab w:val="left" w:pos="993" w:leader="none"/>
        </w:tabs>
        <w:rPr>
          <w:sz w:val="24"/>
          <w:szCs w:val="24"/>
        </w:rPr>
      </w:pPr>
      <w:r>
        <w:rPr>
          <w:sz w:val="24"/>
          <w:szCs w:val="24"/>
        </w:rPr>
        <w:t xml:space="preserve">муниципальное автономное учреждение дополнительного образования Белоярского района «Дворец детского (юношеского) творчества г. Белоярский» в номинации «Спорт» (проект «Межмуниципальный туристский слёт педагогических работников Белоярского района»);</w:t>
      </w:r>
      <w:r>
        <w:rPr>
          <w:sz w:val="24"/>
          <w:szCs w:val="24"/>
        </w:rPr>
      </w:r>
      <w:r>
        <w:rPr>
          <w:sz w:val="24"/>
          <w:szCs w:val="24"/>
        </w:rPr>
      </w:r>
    </w:p>
    <w:p>
      <w:pPr>
        <w:pStyle w:val="934"/>
        <w:numPr>
          <w:ilvl w:val="0"/>
          <w:numId w:val="40"/>
        </w:numPr>
        <w:ind w:left="0" w:firstLine="709"/>
        <w:jc w:val="both"/>
        <w:spacing w:line="276" w:lineRule="auto"/>
        <w:tabs>
          <w:tab w:val="left" w:pos="993" w:leader="none"/>
        </w:tabs>
        <w:rPr>
          <w:sz w:val="24"/>
          <w:szCs w:val="24"/>
        </w:rPr>
      </w:pPr>
      <w:r>
        <w:rPr>
          <w:sz w:val="24"/>
          <w:szCs w:val="24"/>
        </w:rPr>
        <w:t xml:space="preserve">бюджетное учреждение Ханты</w:t>
      </w:r>
      <w:r>
        <w:rPr>
          <w:sz w:val="24"/>
          <w:szCs w:val="24"/>
        </w:rPr>
        <w:t xml:space="preserve">-Мансийского автономного округа – Югры «Объединенная дирекция особо охраняемых природных территорий» в номинации «Экология» (проект «Обустройство экологической тропы «Лосиная тропа» (Государственный природный биологический заказник регионального значения «</w:t>
      </w:r>
      <w:r>
        <w:rPr>
          <w:sz w:val="24"/>
          <w:szCs w:val="24"/>
        </w:rPr>
        <w:t xml:space="preserve">Сорумский»)).</w:t>
      </w:r>
      <w:r>
        <w:rPr>
          <w:sz w:val="24"/>
          <w:szCs w:val="24"/>
        </w:rPr>
      </w:r>
      <w:r>
        <w:rPr>
          <w:sz w:val="24"/>
          <w:szCs w:val="24"/>
        </w:rPr>
      </w:r>
    </w:p>
    <w:p>
      <w:pPr>
        <w:pStyle w:val="934"/>
        <w:ind w:firstLine="720"/>
        <w:jc w:val="both"/>
        <w:spacing w:line="276" w:lineRule="auto"/>
        <w:tabs>
          <w:tab w:val="left" w:pos="720" w:leader="none"/>
        </w:tabs>
        <w:rPr>
          <w:sz w:val="24"/>
          <w:szCs w:val="24"/>
        </w:rPr>
      </w:pPr>
      <w:r>
        <w:rPr>
          <w:sz w:val="24"/>
          <w:szCs w:val="24"/>
        </w:rPr>
        <w:t xml:space="preserve">В сфере обрабатывающих производств объем отгруженных товаров собственного производства, выполненных работ и услуг собственными силами производителей промышленной продукции за </w:t>
      </w:r>
      <w:r>
        <w:rPr>
          <w:sz w:val="24"/>
          <w:szCs w:val="24"/>
        </w:rPr>
        <w:t xml:space="preserve">2024</w:t>
      </w:r>
      <w:r>
        <w:rPr>
          <w:sz w:val="24"/>
          <w:szCs w:val="24"/>
        </w:rPr>
        <w:t xml:space="preserve"> год</w:t>
      </w:r>
      <w:r>
        <w:rPr>
          <w:sz w:val="24"/>
          <w:szCs w:val="24"/>
        </w:rPr>
        <w:t xml:space="preserve"> оценочно составил</w:t>
      </w:r>
      <w:r>
        <w:rPr>
          <w:sz w:val="24"/>
          <w:szCs w:val="24"/>
        </w:rPr>
        <w:t xml:space="preserve"> </w:t>
      </w:r>
      <w:r>
        <w:rPr>
          <w:sz w:val="24"/>
          <w:szCs w:val="24"/>
        </w:rPr>
        <w:t xml:space="preserve">525,9</w:t>
      </w:r>
      <w:r>
        <w:rPr>
          <w:sz w:val="24"/>
          <w:szCs w:val="24"/>
        </w:rPr>
        <w:t xml:space="preserve"> млн. рублей, индекс производства – </w:t>
      </w:r>
      <w:r>
        <w:rPr>
          <w:sz w:val="24"/>
          <w:szCs w:val="24"/>
        </w:rPr>
        <w:t xml:space="preserve">132,0% к 2023 году</w:t>
      </w:r>
      <w:r>
        <w:rPr>
          <w:sz w:val="24"/>
          <w:szCs w:val="24"/>
        </w:rPr>
        <w:t xml:space="preserve">.</w:t>
      </w:r>
      <w:r>
        <w:rPr>
          <w:sz w:val="24"/>
          <w:szCs w:val="24"/>
        </w:rPr>
      </w:r>
      <w:r>
        <w:rPr>
          <w:sz w:val="24"/>
          <w:szCs w:val="24"/>
        </w:rPr>
      </w:r>
    </w:p>
    <w:p>
      <w:pPr>
        <w:pStyle w:val="934"/>
        <w:ind w:firstLine="709"/>
        <w:jc w:val="both"/>
        <w:spacing w:line="276" w:lineRule="auto"/>
        <w:rPr>
          <w:sz w:val="24"/>
          <w:szCs w:val="24"/>
        </w:rPr>
      </w:pPr>
      <w:r>
        <w:rPr>
          <w:sz w:val="24"/>
          <w:szCs w:val="24"/>
        </w:rPr>
        <w:t xml:space="preserve">Немаловажную роль в сфере обрабатывающ</w:t>
      </w:r>
      <w:r>
        <w:rPr>
          <w:sz w:val="24"/>
          <w:szCs w:val="24"/>
        </w:rPr>
        <w:t xml:space="preserve">их производств играет пищевая промышленность. На территории Белоярского района данную отрасль представляют предприятия ООО СП «Белоярское» (производство мяса и пищевых субпродуктов крупного рогатого скота, сыров, молока, творога, йогуртов, морса и джема), </w:t>
      </w:r>
      <w:r>
        <w:rPr>
          <w:sz w:val="24"/>
          <w:szCs w:val="24"/>
        </w:rPr>
        <w:t xml:space="preserve">ООО</w:t>
      </w:r>
      <w:r>
        <w:rPr>
          <w:sz w:val="24"/>
          <w:szCs w:val="24"/>
        </w:rPr>
        <w:t xml:space="preserve"> «Городской центр торговли» (производство хлеба и хлебобулочных изделий, рыбной продукции), а также субъекты малого предпринимательства.</w:t>
      </w:r>
      <w:r>
        <w:rPr>
          <w:sz w:val="24"/>
          <w:szCs w:val="24"/>
        </w:rPr>
      </w:r>
      <w:r>
        <w:rPr>
          <w:sz w:val="24"/>
          <w:szCs w:val="24"/>
        </w:rPr>
      </w:r>
    </w:p>
    <w:p>
      <w:pPr>
        <w:pStyle w:val="934"/>
        <w:ind w:firstLine="709"/>
        <w:jc w:val="both"/>
        <w:spacing w:line="276" w:lineRule="auto"/>
        <w:rPr>
          <w:sz w:val="24"/>
          <w:szCs w:val="24"/>
        </w:rPr>
      </w:pPr>
      <w:r>
        <w:rPr>
          <w:sz w:val="24"/>
          <w:szCs w:val="24"/>
        </w:rPr>
        <w:t xml:space="preserve">Сфера обрабатывающих производств, помимо пищевой промышленности, включает в себя следующие отрасли:</w:t>
      </w:r>
      <w:r>
        <w:rPr>
          <w:sz w:val="24"/>
          <w:szCs w:val="24"/>
        </w:rPr>
      </w:r>
      <w:r>
        <w:rPr>
          <w:sz w:val="24"/>
          <w:szCs w:val="24"/>
        </w:rPr>
      </w:r>
    </w:p>
    <w:p>
      <w:pPr>
        <w:pStyle w:val="934"/>
        <w:numPr>
          <w:ilvl w:val="0"/>
          <w:numId w:val="3"/>
        </w:numPr>
        <w:contextualSpacing/>
        <w:ind w:hanging="219"/>
        <w:jc w:val="both"/>
        <w:spacing w:line="276" w:lineRule="auto"/>
        <w:tabs>
          <w:tab w:val="left" w:pos="993" w:leader="none"/>
        </w:tabs>
        <w:rPr>
          <w:sz w:val="24"/>
          <w:szCs w:val="24"/>
        </w:rPr>
      </w:pPr>
      <w:r>
        <w:rPr>
          <w:sz w:val="24"/>
          <w:szCs w:val="24"/>
        </w:rPr>
        <w:t xml:space="preserve">отрасль ремонта и монтажа машин и оборудования;</w:t>
      </w:r>
      <w:r>
        <w:rPr>
          <w:sz w:val="24"/>
          <w:szCs w:val="24"/>
        </w:rPr>
      </w:r>
      <w:r>
        <w:rPr>
          <w:sz w:val="24"/>
          <w:szCs w:val="24"/>
        </w:rPr>
      </w:r>
    </w:p>
    <w:p>
      <w:pPr>
        <w:pStyle w:val="934"/>
        <w:numPr>
          <w:ilvl w:val="0"/>
          <w:numId w:val="3"/>
        </w:numPr>
        <w:contextualSpacing/>
        <w:ind w:left="0" w:firstLine="709"/>
        <w:jc w:val="both"/>
        <w:spacing w:line="276" w:lineRule="auto"/>
        <w:tabs>
          <w:tab w:val="left" w:pos="993" w:leader="none"/>
        </w:tabs>
        <w:rPr>
          <w:sz w:val="24"/>
          <w:szCs w:val="24"/>
        </w:rPr>
      </w:pPr>
      <w:r>
        <w:rPr>
          <w:sz w:val="24"/>
          <w:szCs w:val="24"/>
        </w:rPr>
        <w:t xml:space="preserve">производство прочей неметаллической продукции (</w:t>
      </w:r>
      <w:r>
        <w:rPr>
          <w:sz w:val="24"/>
          <w:szCs w:val="24"/>
        </w:rPr>
        <w:t xml:space="preserve">ООО</w:t>
      </w:r>
      <w:r>
        <w:rPr>
          <w:sz w:val="24"/>
          <w:szCs w:val="24"/>
        </w:rPr>
        <w:t xml:space="preserve"> «Управление производственно – технической комплектации»);</w:t>
      </w:r>
      <w:r>
        <w:rPr>
          <w:sz w:val="24"/>
          <w:szCs w:val="24"/>
        </w:rPr>
      </w:r>
      <w:r>
        <w:rPr>
          <w:sz w:val="24"/>
          <w:szCs w:val="24"/>
        </w:rPr>
      </w:r>
    </w:p>
    <w:p>
      <w:pPr>
        <w:pStyle w:val="934"/>
        <w:numPr>
          <w:ilvl w:val="0"/>
          <w:numId w:val="3"/>
        </w:numPr>
        <w:contextualSpacing/>
        <w:ind w:left="0" w:firstLine="709"/>
        <w:jc w:val="both"/>
        <w:spacing w:line="276" w:lineRule="auto"/>
        <w:tabs>
          <w:tab w:val="left" w:pos="993" w:leader="none"/>
        </w:tabs>
        <w:rPr>
          <w:sz w:val="24"/>
          <w:szCs w:val="24"/>
        </w:rPr>
      </w:pPr>
      <w:r>
        <w:rPr>
          <w:sz w:val="24"/>
          <w:szCs w:val="24"/>
        </w:rPr>
        <w:t xml:space="preserve">отрасль полиграфической деятельности (АУ Белоярского района «Белоярский информационный центр «Квадрат»);</w:t>
      </w:r>
      <w:r>
        <w:rPr>
          <w:sz w:val="24"/>
          <w:szCs w:val="24"/>
        </w:rPr>
      </w:r>
      <w:r>
        <w:rPr>
          <w:sz w:val="24"/>
          <w:szCs w:val="24"/>
        </w:rPr>
      </w:r>
    </w:p>
    <w:p>
      <w:pPr>
        <w:pStyle w:val="934"/>
        <w:numPr>
          <w:ilvl w:val="0"/>
          <w:numId w:val="3"/>
        </w:numPr>
        <w:contextualSpacing/>
        <w:ind w:left="0" w:firstLine="709"/>
        <w:jc w:val="both"/>
        <w:spacing w:line="276" w:lineRule="auto"/>
        <w:tabs>
          <w:tab w:val="left" w:pos="993" w:leader="none"/>
        </w:tabs>
        <w:rPr>
          <w:sz w:val="24"/>
          <w:szCs w:val="24"/>
        </w:rPr>
      </w:pPr>
      <w:r>
        <w:rPr>
          <w:sz w:val="24"/>
          <w:szCs w:val="24"/>
        </w:rPr>
        <w:t xml:space="preserve">прочие производства (обработка древесины и изделий из дерева; производство кожи и изделий из кожи).</w:t>
      </w:r>
      <w:r>
        <w:rPr>
          <w:sz w:val="24"/>
          <w:szCs w:val="24"/>
        </w:rPr>
      </w:r>
      <w:r>
        <w:rPr>
          <w:sz w:val="24"/>
          <w:szCs w:val="24"/>
        </w:rPr>
      </w:r>
    </w:p>
    <w:p>
      <w:pPr>
        <w:pStyle w:val="934"/>
        <w:ind w:firstLine="720"/>
        <w:jc w:val="both"/>
        <w:spacing w:line="276" w:lineRule="auto"/>
        <w:tabs>
          <w:tab w:val="left" w:pos="720" w:leader="none"/>
        </w:tabs>
        <w:rPr>
          <w:sz w:val="24"/>
          <w:szCs w:val="24"/>
        </w:rPr>
      </w:pPr>
      <w:r>
        <w:rPr>
          <w:sz w:val="24"/>
          <w:szCs w:val="24"/>
        </w:rPr>
        <w:t xml:space="preserve">В сфере обеспечения электрической энергией, газом и паром; кондиционирования воздуха объем отгруженных товаров, выполненных работ и услуг (по крупным и средним предприятиям) за </w:t>
      </w:r>
      <w:r>
        <w:rPr>
          <w:sz w:val="24"/>
          <w:szCs w:val="24"/>
        </w:rPr>
        <w:t xml:space="preserve">2024</w:t>
      </w:r>
      <w:r>
        <w:rPr>
          <w:sz w:val="24"/>
          <w:szCs w:val="24"/>
        </w:rPr>
        <w:t xml:space="preserve"> год</w:t>
      </w:r>
      <w:r>
        <w:rPr>
          <w:sz w:val="24"/>
          <w:szCs w:val="24"/>
        </w:rPr>
        <w:t xml:space="preserve"> оценочно составил </w:t>
      </w:r>
      <w:r>
        <w:rPr>
          <w:sz w:val="24"/>
          <w:szCs w:val="24"/>
        </w:rPr>
        <w:t xml:space="preserve">1 774</w:t>
      </w:r>
      <w:r>
        <w:rPr>
          <w:sz w:val="24"/>
          <w:szCs w:val="24"/>
        </w:rPr>
        <w:t xml:space="preserve">,2</w:t>
      </w:r>
      <w:r>
        <w:rPr>
          <w:sz w:val="24"/>
          <w:szCs w:val="24"/>
        </w:rPr>
        <w:t xml:space="preserve"> млн. рублей, индекс производства – </w:t>
      </w:r>
      <w:r>
        <w:rPr>
          <w:sz w:val="24"/>
          <w:szCs w:val="24"/>
        </w:rPr>
        <w:t xml:space="preserve">88,0</w:t>
      </w:r>
      <w:r>
        <w:rPr>
          <w:sz w:val="24"/>
          <w:szCs w:val="24"/>
        </w:rPr>
        <w:t xml:space="preserve">% к </w:t>
      </w:r>
      <w:r>
        <w:rPr>
          <w:sz w:val="24"/>
          <w:szCs w:val="24"/>
        </w:rPr>
        <w:t xml:space="preserve">2023 году</w:t>
      </w:r>
      <w:r>
        <w:rPr>
          <w:sz w:val="24"/>
          <w:szCs w:val="24"/>
        </w:rPr>
        <w:t xml:space="preserve">.</w:t>
      </w:r>
      <w:r>
        <w:rPr>
          <w:sz w:val="24"/>
          <w:szCs w:val="24"/>
        </w:rPr>
      </w:r>
      <w:r>
        <w:rPr>
          <w:sz w:val="24"/>
          <w:szCs w:val="24"/>
        </w:rPr>
      </w:r>
    </w:p>
    <w:p>
      <w:pPr>
        <w:pStyle w:val="934"/>
        <w:ind w:firstLine="720"/>
        <w:jc w:val="both"/>
        <w:spacing w:line="276" w:lineRule="auto"/>
        <w:rPr>
          <w:sz w:val="24"/>
          <w:szCs w:val="24"/>
        </w:rPr>
      </w:pPr>
      <w:r>
        <w:rPr>
          <w:sz w:val="24"/>
          <w:szCs w:val="24"/>
        </w:rPr>
        <w:t xml:space="preserve">Производство электроэнергии  на территории </w:t>
      </w:r>
      <w:r>
        <w:rPr>
          <w:sz w:val="24"/>
          <w:szCs w:val="24"/>
        </w:rPr>
        <w:t xml:space="preserve">Белоярского района  осуществляют ПАО энергетики и электрификации «Передвижная энергетика» филиал «ПЭС «Казым», «Казымское ЛПУ МГ», «Верхнеказымское ЛПУ МГ», «Сосновское ЛПУ МГ», «Сорумское ЛПУ МГ», «Бобровское ЛПУ МГ». Объем производства электроэнергии на </w:t>
      </w:r>
      <w:r>
        <w:rPr>
          <w:sz w:val="24"/>
          <w:szCs w:val="24"/>
        </w:rPr>
        <w:t xml:space="preserve">территории Белоярского района за </w:t>
      </w:r>
      <w:r>
        <w:rPr>
          <w:sz w:val="24"/>
          <w:szCs w:val="24"/>
        </w:rPr>
        <w:t xml:space="preserve">2024</w:t>
      </w:r>
      <w:r>
        <w:rPr>
          <w:sz w:val="24"/>
          <w:szCs w:val="24"/>
        </w:rPr>
        <w:t xml:space="preserve"> год</w:t>
      </w:r>
      <w:r>
        <w:rPr>
          <w:sz w:val="24"/>
          <w:szCs w:val="24"/>
        </w:rPr>
        <w:t xml:space="preserve"> </w:t>
      </w:r>
      <w:r>
        <w:rPr>
          <w:sz w:val="24"/>
          <w:szCs w:val="24"/>
        </w:rPr>
        <w:t xml:space="preserve">оценочно составил</w:t>
      </w:r>
      <w:r>
        <w:rPr>
          <w:sz w:val="24"/>
          <w:szCs w:val="24"/>
        </w:rPr>
        <w:t xml:space="preserve"> </w:t>
      </w:r>
      <w:r>
        <w:rPr>
          <w:sz w:val="24"/>
          <w:szCs w:val="24"/>
        </w:rPr>
        <w:t xml:space="preserve">162,4</w:t>
      </w:r>
      <w:r>
        <w:rPr>
          <w:sz w:val="24"/>
          <w:szCs w:val="24"/>
        </w:rPr>
        <w:t xml:space="preserve"> млн. кВт.ч или </w:t>
      </w:r>
      <w:r>
        <w:rPr>
          <w:sz w:val="24"/>
          <w:szCs w:val="24"/>
        </w:rPr>
        <w:t xml:space="preserve">63,2</w:t>
      </w:r>
      <w:r>
        <w:rPr>
          <w:sz w:val="24"/>
          <w:szCs w:val="24"/>
        </w:rPr>
        <w:t xml:space="preserve">% к 202</w:t>
      </w:r>
      <w:r>
        <w:rPr>
          <w:sz w:val="24"/>
          <w:szCs w:val="24"/>
        </w:rPr>
        <w:t xml:space="preserve">3 году</w:t>
      </w:r>
      <w:r>
        <w:rPr>
          <w:sz w:val="24"/>
          <w:szCs w:val="24"/>
        </w:rPr>
        <w:t xml:space="preserve">.</w:t>
      </w:r>
      <w:r>
        <w:rPr>
          <w:sz w:val="24"/>
          <w:szCs w:val="24"/>
        </w:rPr>
      </w:r>
      <w:r>
        <w:rPr>
          <w:sz w:val="24"/>
          <w:szCs w:val="24"/>
        </w:rPr>
      </w:r>
    </w:p>
    <w:p>
      <w:pPr>
        <w:pStyle w:val="934"/>
        <w:ind w:firstLine="720"/>
        <w:jc w:val="both"/>
        <w:spacing w:line="276" w:lineRule="auto"/>
        <w:rPr>
          <w:sz w:val="24"/>
          <w:szCs w:val="24"/>
        </w:rPr>
      </w:pPr>
      <w:r>
        <w:rPr>
          <w:sz w:val="24"/>
          <w:szCs w:val="24"/>
        </w:rPr>
        <w:t xml:space="preserve">Реализацию электроэнергии в городе Белоярский и поселках Белоярского района осущ</w:t>
      </w:r>
      <w:r>
        <w:rPr>
          <w:sz w:val="24"/>
          <w:szCs w:val="24"/>
        </w:rPr>
        <w:t xml:space="preserve">ествляет АО «Газпром энергосбыт </w:t>
      </w:r>
      <w:r>
        <w:rPr>
          <w:sz w:val="24"/>
          <w:szCs w:val="24"/>
        </w:rPr>
        <w:t xml:space="preserve">Тюмень». Обеспечением электроснабжения занимается Белоярский филиал АО «ЮРЭСК».</w:t>
      </w:r>
      <w:r>
        <w:rPr>
          <w:sz w:val="24"/>
          <w:szCs w:val="24"/>
        </w:rPr>
      </w:r>
      <w:r>
        <w:rPr>
          <w:sz w:val="24"/>
          <w:szCs w:val="24"/>
        </w:rPr>
      </w:r>
    </w:p>
    <w:p>
      <w:pPr>
        <w:pStyle w:val="934"/>
        <w:ind w:firstLine="720"/>
        <w:jc w:val="both"/>
        <w:spacing w:line="276" w:lineRule="auto"/>
        <w:rPr>
          <w:sz w:val="24"/>
          <w:szCs w:val="24"/>
        </w:rPr>
      </w:pPr>
      <w:r>
        <w:rPr>
          <w:sz w:val="24"/>
          <w:szCs w:val="24"/>
        </w:rPr>
        <w:t xml:space="preserve">П</w:t>
      </w:r>
      <w:r>
        <w:rPr>
          <w:sz w:val="24"/>
          <w:szCs w:val="24"/>
        </w:rPr>
        <w:t xml:space="preserve">оставку газа на территории Белоярского района осуществляет ООО «Газпром межрегионгаз Север». Эксплуатацию газораспределительных сетей, а также техническое обслуживание внутридомового газового оборудования  осуществляет АО «Газпром газораспределение Север».</w:t>
      </w:r>
      <w:r>
        <w:rPr>
          <w:sz w:val="24"/>
          <w:szCs w:val="24"/>
        </w:rPr>
      </w:r>
      <w:r>
        <w:rPr>
          <w:sz w:val="24"/>
          <w:szCs w:val="24"/>
        </w:rPr>
      </w:r>
    </w:p>
    <w:p>
      <w:pPr>
        <w:pStyle w:val="934"/>
        <w:ind w:firstLine="720"/>
        <w:jc w:val="both"/>
        <w:spacing w:line="276" w:lineRule="auto"/>
        <w:tabs>
          <w:tab w:val="left" w:pos="720" w:leader="none"/>
        </w:tabs>
        <w:rPr>
          <w:color w:val="ff0000"/>
          <w:sz w:val="24"/>
          <w:szCs w:val="24"/>
        </w:rPr>
      </w:pPr>
      <w:r>
        <w:rPr>
          <w:sz w:val="24"/>
          <w:szCs w:val="24"/>
        </w:rPr>
        <w:t xml:space="preserve">В сфере водоснабжения, водоотведения, организации сбора и утилизации отходов, деятельности по ликвидации загрязнений объем отгруженных товаров, выполненных работ и услуг (по крупным и средним предприятиям) за </w:t>
      </w:r>
      <w:r>
        <w:rPr>
          <w:sz w:val="24"/>
          <w:szCs w:val="24"/>
        </w:rPr>
        <w:t xml:space="preserve">2024</w:t>
      </w:r>
      <w:r>
        <w:rPr>
          <w:sz w:val="24"/>
          <w:szCs w:val="24"/>
        </w:rPr>
        <w:t xml:space="preserve"> год оценочно составил</w:t>
      </w:r>
      <w:r>
        <w:rPr>
          <w:sz w:val="24"/>
          <w:szCs w:val="24"/>
        </w:rPr>
        <w:t xml:space="preserve"> </w:t>
      </w:r>
      <w:r>
        <w:rPr>
          <w:sz w:val="24"/>
          <w:szCs w:val="24"/>
        </w:rPr>
        <w:t xml:space="preserve">197,3 </w:t>
      </w:r>
      <w:r>
        <w:rPr>
          <w:sz w:val="24"/>
          <w:szCs w:val="24"/>
        </w:rPr>
        <w:t xml:space="preserve">млн. рублей, индекс производства – </w:t>
      </w:r>
      <w:r>
        <w:rPr>
          <w:sz w:val="24"/>
          <w:szCs w:val="24"/>
        </w:rPr>
        <w:t xml:space="preserve">98,8% к 2023 году</w:t>
      </w:r>
      <w:r>
        <w:rPr>
          <w:sz w:val="24"/>
          <w:szCs w:val="24"/>
        </w:rPr>
        <w:t xml:space="preserve">.</w:t>
      </w:r>
      <w:r>
        <w:rPr>
          <w:color w:val="ff0000"/>
          <w:sz w:val="24"/>
          <w:szCs w:val="24"/>
        </w:rPr>
      </w:r>
      <w:r>
        <w:rPr>
          <w:color w:val="ff0000"/>
          <w:sz w:val="24"/>
          <w:szCs w:val="24"/>
        </w:rPr>
      </w:r>
    </w:p>
    <w:p>
      <w:pPr>
        <w:pStyle w:val="934"/>
        <w:ind w:firstLine="720"/>
        <w:jc w:val="both"/>
        <w:spacing w:line="276" w:lineRule="auto"/>
        <w:rPr>
          <w:sz w:val="24"/>
          <w:szCs w:val="24"/>
        </w:rPr>
      </w:pPr>
      <w:r>
        <w:rPr>
          <w:sz w:val="24"/>
          <w:szCs w:val="24"/>
        </w:rPr>
        <w:t xml:space="preserve">Основным поставщиком питьевой воды в городе Белоярский, селах Казым и Полноват, поселке Сорум является предприятие МУП «БКС». Забор  воды  в городе Белоярский осуществляется из поверхностного источника – р. Казым, в селах Казым и Полноват источником пить</w:t>
      </w:r>
      <w:r>
        <w:rPr>
          <w:sz w:val="24"/>
          <w:szCs w:val="24"/>
        </w:rPr>
        <w:t xml:space="preserve">евой воды являются подземные воды. В трассовых  поселках Верхнеказымский, Лыхма, Сорум и Сосновка услуги водоснабжения и водоотведения оказывают линейно-производственные управления магистральных газопроводов                   ООО «Газпром трансгаз Югорск».</w:t>
      </w:r>
      <w:r>
        <w:rPr>
          <w:sz w:val="24"/>
          <w:szCs w:val="24"/>
        </w:rPr>
      </w:r>
      <w:r>
        <w:rPr>
          <w:sz w:val="24"/>
          <w:szCs w:val="24"/>
        </w:rPr>
      </w:r>
    </w:p>
    <w:p>
      <w:pPr>
        <w:pStyle w:val="934"/>
        <w:spacing w:line="276" w:lineRule="auto"/>
        <w:rPr>
          <w:b/>
          <w:i/>
          <w:color w:val="ff0000"/>
          <w:sz w:val="24"/>
          <w:szCs w:val="24"/>
        </w:rPr>
      </w:pPr>
      <w:r>
        <w:rPr>
          <w:b/>
          <w:i/>
          <w:color w:val="ff0000"/>
          <w:sz w:val="24"/>
          <w:szCs w:val="24"/>
        </w:rPr>
      </w:r>
      <w:r>
        <w:rPr>
          <w:b/>
          <w:i/>
          <w:color w:val="ff0000"/>
          <w:sz w:val="24"/>
          <w:szCs w:val="24"/>
        </w:rPr>
      </w:r>
      <w:r>
        <w:rPr>
          <w:b/>
          <w:i/>
          <w:color w:val="ff0000"/>
          <w:sz w:val="24"/>
          <w:szCs w:val="24"/>
        </w:rPr>
      </w:r>
    </w:p>
    <w:p>
      <w:pPr>
        <w:pStyle w:val="934"/>
        <w:spacing w:line="276" w:lineRule="auto"/>
        <w:rPr>
          <w:b/>
          <w:i/>
          <w:sz w:val="24"/>
          <w:szCs w:val="24"/>
        </w:rPr>
      </w:pPr>
      <w:r>
        <w:rPr>
          <w:b/>
          <w:i/>
          <w:sz w:val="24"/>
          <w:szCs w:val="24"/>
        </w:rPr>
        <w:t xml:space="preserve">Сельское хозяйство</w:t>
      </w:r>
      <w:r>
        <w:rPr>
          <w:b/>
          <w:i/>
          <w:sz w:val="24"/>
          <w:szCs w:val="24"/>
        </w:rPr>
      </w:r>
      <w:r>
        <w:rPr>
          <w:b/>
          <w:i/>
          <w:sz w:val="24"/>
          <w:szCs w:val="24"/>
        </w:rPr>
      </w:r>
    </w:p>
    <w:p>
      <w:pPr>
        <w:pStyle w:val="934"/>
        <w:ind w:firstLine="709"/>
        <w:jc w:val="both"/>
        <w:spacing w:line="276" w:lineRule="auto"/>
        <w:rPr>
          <w:sz w:val="24"/>
          <w:szCs w:val="24"/>
        </w:rPr>
      </w:pPr>
      <w:r>
        <w:rPr>
          <w:sz w:val="24"/>
          <w:szCs w:val="24"/>
        </w:rPr>
        <w:t xml:space="preserve">Основным направлением деятельности сельскохозяйственных предприятий Белоярского района является животноводство (мясное и молочное скотоводство, птицеводство, оленеводство), доб</w:t>
      </w:r>
      <w:r>
        <w:rPr>
          <w:sz w:val="24"/>
          <w:szCs w:val="24"/>
        </w:rPr>
        <w:t xml:space="preserve">ыча (вылов) и переработка рыбы, а также заготовка и переработка дикоросов. </w:t>
      </w:r>
      <w:r>
        <w:rPr>
          <w:sz w:val="24"/>
          <w:szCs w:val="24"/>
        </w:rPr>
        <w:t xml:space="preserve">Основную долю сельскохозяйственного рынка в животноводческой отрасли на терр</w:t>
      </w:r>
      <w:r>
        <w:rPr>
          <w:sz w:val="24"/>
          <w:szCs w:val="24"/>
        </w:rPr>
        <w:t xml:space="preserve">итории Белоярского района занимают ООО СП «Белоярское» и АО «Казымская оленеводческая компания». Производством сельскохозяйственной продукции также занимаются субъекты малого предпринимательства, самозанятые и граждане, ведущие личное подсобное хозяйство. </w:t>
      </w:r>
      <w:r>
        <w:rPr>
          <w:sz w:val="24"/>
          <w:szCs w:val="24"/>
        </w:rPr>
      </w:r>
      <w:r>
        <w:rPr>
          <w:sz w:val="24"/>
          <w:szCs w:val="24"/>
        </w:rPr>
      </w:r>
    </w:p>
    <w:p>
      <w:pPr>
        <w:pStyle w:val="934"/>
        <w:ind w:firstLine="709"/>
        <w:jc w:val="both"/>
        <w:spacing w:line="276" w:lineRule="auto"/>
        <w:rPr>
          <w:rFonts w:eastAsia="Calibri"/>
          <w:sz w:val="24"/>
          <w:szCs w:val="24"/>
        </w:rPr>
      </w:pPr>
      <w:r>
        <w:rPr>
          <w:rFonts w:eastAsia="Calibri"/>
          <w:sz w:val="24"/>
          <w:szCs w:val="24"/>
        </w:rPr>
        <w:t xml:space="preserve">В 2024 году сельскохозяйственными организациями, крестьянскими (фермерскими) хозяйствами и индивидуальными предпринимателями произведено 728 тонн молока (92,7% к 2023 году), 0,</w:t>
      </w:r>
      <w:r>
        <w:rPr>
          <w:rFonts w:eastAsia="Calibri"/>
          <w:sz w:val="24"/>
          <w:szCs w:val="24"/>
        </w:rPr>
        <w:t xml:space="preserve">45 млн. штук куриных яиц (75% к 2023 году, в июне 2024 года в ООО «СП «Белоярское» произошла полная замена поголовья кур несушек), 128 тонн мяса скота и птицы (100,8% к 2023 году), переработано 8,9 тонн дикорастущих ягод (на 11,3% больше, чем в 2023 году).</w:t>
      </w:r>
      <w:r>
        <w:rPr>
          <w:rFonts w:eastAsia="Calibri"/>
          <w:sz w:val="24"/>
          <w:szCs w:val="24"/>
        </w:rPr>
        <w:t xml:space="preserve"> </w:t>
      </w:r>
      <w:r>
        <w:rPr>
          <w:rFonts w:eastAsia="Calibri"/>
          <w:sz w:val="24"/>
          <w:szCs w:val="24"/>
        </w:rPr>
      </w:r>
      <w:r>
        <w:rPr>
          <w:rFonts w:eastAsia="Calibri"/>
          <w:sz w:val="24"/>
          <w:szCs w:val="24"/>
        </w:rPr>
      </w:r>
    </w:p>
    <w:p>
      <w:pPr>
        <w:pStyle w:val="934"/>
        <w:ind w:firstLine="709"/>
        <w:jc w:val="both"/>
        <w:spacing w:line="276" w:lineRule="auto"/>
        <w:rPr>
          <w:sz w:val="24"/>
          <w:szCs w:val="24"/>
        </w:rPr>
      </w:pPr>
      <w:r>
        <w:rPr>
          <w:sz w:val="24"/>
          <w:szCs w:val="24"/>
        </w:rPr>
        <w:t xml:space="preserve">В рамках муниципальной программы Белоярского района «Развитие агропромышленного комплекса» </w:t>
      </w:r>
      <w:r>
        <w:rPr>
          <w:sz w:val="24"/>
          <w:szCs w:val="24"/>
        </w:rPr>
        <w:t xml:space="preserve">на поддержку и развитие агропромышленного комплекса на территории Белоярского района </w:t>
      </w:r>
      <w:r>
        <w:rPr>
          <w:sz w:val="24"/>
          <w:szCs w:val="24"/>
        </w:rPr>
        <w:t xml:space="preserve">в 2024 году за счет бюджетов всех уровне</w:t>
      </w:r>
      <w:r>
        <w:rPr>
          <w:sz w:val="24"/>
          <w:szCs w:val="24"/>
        </w:rPr>
        <w:t xml:space="preserve">й направлено 110,9 млн. рублей, в том числе 78,9 млн. рублей за счет средств бюджета Белоярского района.</w:t>
      </w:r>
      <w:r>
        <w:rPr>
          <w:sz w:val="24"/>
          <w:szCs w:val="24"/>
        </w:rPr>
      </w:r>
      <w:r>
        <w:rPr>
          <w:sz w:val="24"/>
          <w:szCs w:val="24"/>
        </w:rPr>
      </w:r>
    </w:p>
    <w:p>
      <w:pPr>
        <w:pStyle w:val="934"/>
        <w:ind w:firstLine="709"/>
        <w:jc w:val="both"/>
        <w:spacing w:line="276" w:lineRule="auto"/>
        <w:rPr>
          <w:rFonts w:eastAsia="Calibri"/>
          <w:sz w:val="24"/>
          <w:szCs w:val="24"/>
        </w:rPr>
      </w:pPr>
      <w:r>
        <w:rPr>
          <w:rFonts w:eastAsia="Calibri"/>
          <w:sz w:val="24"/>
          <w:szCs w:val="24"/>
        </w:rPr>
        <w:t xml:space="preserve">Благодаря финансовой поддержке в Белоярском районе обеспечивается продовольственная</w:t>
      </w:r>
      <w:r>
        <w:rPr>
          <w:rFonts w:eastAsia="Calibri"/>
          <w:sz w:val="24"/>
          <w:szCs w:val="24"/>
        </w:rPr>
        <w:t xml:space="preserve"> безопасность за счет собственной продукции местных товаропроизводителей, в бюджетные и автономные учреждения социальной сферы Белоярского района поступает только качественная пищевая продукция, в том числе молочная продукция с короткими сроками хранения. </w:t>
      </w:r>
      <w:r>
        <w:rPr>
          <w:rFonts w:eastAsia="Calibri"/>
          <w:sz w:val="24"/>
          <w:szCs w:val="24"/>
        </w:rPr>
      </w:r>
      <w:r>
        <w:rPr>
          <w:rFonts w:eastAsia="Calibri"/>
          <w:sz w:val="24"/>
          <w:szCs w:val="24"/>
        </w:rPr>
      </w:r>
    </w:p>
    <w:p>
      <w:pPr>
        <w:pStyle w:val="934"/>
        <w:ind w:firstLine="709"/>
        <w:jc w:val="both"/>
        <w:spacing w:line="276" w:lineRule="auto"/>
        <w:tabs>
          <w:tab w:val="left" w:pos="993" w:leader="none"/>
        </w:tabs>
        <w:rPr>
          <w:rFonts w:eastAsia="Calibri"/>
          <w:sz w:val="24"/>
          <w:szCs w:val="24"/>
          <w:lang w:eastAsia="en-US"/>
        </w:rPr>
      </w:pPr>
      <w:r>
        <w:rPr>
          <w:sz w:val="24"/>
          <w:szCs w:val="24"/>
          <w:lang w:eastAsia="en-US"/>
        </w:rPr>
        <w:t xml:space="preserve">В целях удовлетворения потребительского спроса на продукцию птицеводства, обеспечения продовольственной безопасности Белоярского района в</w:t>
      </w:r>
      <w:r>
        <w:rPr>
          <w:rFonts w:eastAsia="Calibri"/>
          <w:sz w:val="24"/>
          <w:szCs w:val="24"/>
          <w:lang w:eastAsia="en-US"/>
        </w:rPr>
        <w:t xml:space="preserve"> 2025-2027 годах на территории села Казым запланировано строительство птицефермы. Проект предусматривает строительство птицефермы с поголовьем кур-несушек 10 500 голов и мощностью 3,15 млн. штук куриных яиц в год, а также приобретение оборудования </w:t>
      </w:r>
      <w:r>
        <w:rPr>
          <w:rFonts w:eastAsia="Calibri"/>
          <w:sz w:val="24"/>
          <w:szCs w:val="24"/>
          <w:lang w:eastAsia="en-US"/>
        </w:rPr>
        <w:t xml:space="preserve">для производства органических удобрений из помета птиц до 90 тонн в год, на земельном участке сельскохозяйственного назначения, принадлежащего АО «Казымская оленеводческая компания», с использованием имущественного комплекса закрытой звероводческой фермы. </w:t>
      </w:r>
      <w:r>
        <w:rPr>
          <w:rFonts w:eastAsia="Calibri"/>
          <w:sz w:val="24"/>
          <w:szCs w:val="24"/>
          <w:lang w:eastAsia="en-US"/>
        </w:rPr>
      </w:r>
      <w:r>
        <w:rPr>
          <w:rFonts w:eastAsia="Calibri"/>
          <w:sz w:val="24"/>
          <w:szCs w:val="24"/>
          <w:lang w:eastAsia="en-US"/>
        </w:rPr>
      </w:r>
    </w:p>
    <w:p>
      <w:pPr>
        <w:pStyle w:val="934"/>
        <w:ind w:firstLine="709"/>
        <w:jc w:val="both"/>
        <w:spacing w:line="276" w:lineRule="auto"/>
        <w:tabs>
          <w:tab w:val="left" w:pos="567" w:leader="none"/>
        </w:tabs>
        <w:rPr>
          <w:rFonts w:eastAsia="Calibri"/>
          <w:sz w:val="24"/>
          <w:szCs w:val="24"/>
          <w:lang w:eastAsia="en-US"/>
        </w:rPr>
      </w:pPr>
      <w:r>
        <w:rPr>
          <w:rFonts w:eastAsia="Calibri"/>
          <w:sz w:val="24"/>
          <w:szCs w:val="24"/>
          <w:lang w:eastAsia="en-US"/>
        </w:rPr>
        <w:t xml:space="preserve">С целью реализации инвестиционного проекта «Создание центра размножения растений Крайнего Севера» проведён ряд исследований, в ходе которых климатические условия Белоярского района определены подходящими для культивирования</w:t>
      </w:r>
      <w:r>
        <w:rPr>
          <w:rFonts w:eastAsia="Calibri"/>
          <w:sz w:val="24"/>
          <w:szCs w:val="24"/>
          <w:lang w:eastAsia="en-US"/>
        </w:rPr>
        <w:t xml:space="preserve"> родиолы розовой, организации и производства лекарственного сырья, востребованного фармацевтическими компаниями Российской Федерации. В настоящее время под реализацию проекта определен земельный участок, обеспеченный необходимой инженерной инфраструктурой.</w:t>
      </w:r>
      <w:r>
        <w:rPr>
          <w:rFonts w:eastAsia="Calibri"/>
          <w:sz w:val="24"/>
          <w:szCs w:val="24"/>
          <w:lang w:eastAsia="en-US"/>
        </w:rPr>
      </w:r>
      <w:r>
        <w:rPr>
          <w:rFonts w:eastAsia="Calibri"/>
          <w:sz w:val="24"/>
          <w:szCs w:val="24"/>
          <w:lang w:eastAsia="en-US"/>
        </w:rPr>
      </w:r>
    </w:p>
    <w:p>
      <w:pPr>
        <w:pStyle w:val="934"/>
        <w:ind w:firstLine="708"/>
        <w:jc w:val="both"/>
        <w:spacing w:line="276" w:lineRule="auto"/>
        <w:rPr>
          <w:rFonts w:eastAsia="Calibri"/>
          <w:color w:val="ff0000"/>
          <w:sz w:val="24"/>
          <w:szCs w:val="24"/>
        </w:rPr>
      </w:pPr>
      <w:r>
        <w:rPr>
          <w:rFonts w:eastAsia="Calibri"/>
          <w:sz w:val="24"/>
          <w:szCs w:val="24"/>
        </w:rPr>
        <w:t xml:space="preserve">На территории Белоярского района сохраняется и развивается традиционная отрасль коренных народов Севера – северное оленеводство. Поголовье северных оленей в хозяйствах всех форм собственности составляет порядка </w:t>
      </w:r>
      <w:r>
        <w:rPr>
          <w:rFonts w:eastAsia="Calibri"/>
          <w:sz w:val="24"/>
          <w:szCs w:val="24"/>
        </w:rPr>
        <w:t xml:space="preserve">16,0 тыс. голов (1 % от всего поголовья северных оленей на территории Российской Федерации). В отрасли занято более двухсот человек.</w:t>
      </w:r>
      <w:r>
        <w:rPr>
          <w:rFonts w:eastAsia="Calibri"/>
          <w:color w:val="ff0000"/>
          <w:sz w:val="24"/>
          <w:szCs w:val="24"/>
        </w:rPr>
        <w:t xml:space="preserve"> </w:t>
      </w:r>
      <w:r>
        <w:rPr>
          <w:rFonts w:eastAsia="Calibri"/>
          <w:color w:val="ff0000"/>
          <w:sz w:val="24"/>
          <w:szCs w:val="24"/>
        </w:rPr>
      </w:r>
      <w:r>
        <w:rPr>
          <w:rFonts w:eastAsia="Calibri"/>
          <w:color w:val="ff0000"/>
          <w:sz w:val="24"/>
          <w:szCs w:val="24"/>
        </w:rPr>
      </w:r>
    </w:p>
    <w:p>
      <w:pPr>
        <w:pStyle w:val="934"/>
        <w:ind w:firstLine="708"/>
        <w:jc w:val="both"/>
        <w:spacing w:line="276" w:lineRule="auto"/>
        <w:rPr>
          <w:rFonts w:eastAsia="Calibri"/>
          <w:sz w:val="24"/>
          <w:szCs w:val="24"/>
        </w:rPr>
      </w:pPr>
      <w:r>
        <w:rPr>
          <w:rFonts w:eastAsia="Calibri"/>
          <w:sz w:val="24"/>
          <w:szCs w:val="24"/>
        </w:rPr>
        <w:t xml:space="preserve">В 2024 году община коренных малочисленных народов Севера «Осетные» (се</w:t>
      </w:r>
      <w:r>
        <w:rPr>
          <w:rFonts w:eastAsia="Calibri"/>
          <w:sz w:val="24"/>
          <w:szCs w:val="24"/>
        </w:rPr>
        <w:t xml:space="preserve">ло Казым) получила грант в форме субсидий в размере 2,5 млн. рублей от Департамента недропользования и природных ресурсов Ханты-Мансийского автономного округа – Югры на реализацию проекта «Развитие и обустройство оленеводческого хозяйства ОКМНС «Осетные»».</w:t>
      </w:r>
      <w:r>
        <w:rPr>
          <w:sz w:val="24"/>
          <w:szCs w:val="24"/>
        </w:rPr>
        <w:t xml:space="preserve"> </w:t>
      </w:r>
      <w:r>
        <w:rPr>
          <w:rFonts w:eastAsia="Calibri"/>
          <w:sz w:val="24"/>
          <w:szCs w:val="24"/>
        </w:rPr>
      </w:r>
      <w:r>
        <w:rPr>
          <w:rFonts w:eastAsia="Calibri"/>
          <w:sz w:val="24"/>
          <w:szCs w:val="24"/>
        </w:rPr>
      </w:r>
    </w:p>
    <w:p>
      <w:pPr>
        <w:pStyle w:val="934"/>
        <w:ind w:firstLine="708"/>
        <w:jc w:val="both"/>
        <w:spacing w:line="276" w:lineRule="auto"/>
        <w:rPr>
          <w:sz w:val="24"/>
          <w:szCs w:val="24"/>
        </w:rPr>
      </w:pPr>
      <w:r>
        <w:rPr>
          <w:sz w:val="24"/>
          <w:szCs w:val="24"/>
        </w:rPr>
        <w:t xml:space="preserve">Наличие на межселенной территории в северо-восточной части Белоярского района кормовой базы (значительных площадей мхов беломошников) позволяет успешно развивать на </w:t>
      </w:r>
      <w:r>
        <w:rPr>
          <w:sz w:val="24"/>
          <w:szCs w:val="24"/>
        </w:rPr>
        <w:t xml:space="preserve">территории Белоярского района северное оленеводство. Разработан проект «Организация изгородного (корального) оленеводства, производство пантов и кормовых добавок» на территории Белоярского района». На конкурсной основе акционерное общество «Казымская олене</w:t>
      </w:r>
      <w:r>
        <w:rPr>
          <w:sz w:val="24"/>
          <w:szCs w:val="24"/>
        </w:rPr>
        <w:t xml:space="preserve">водческая компания» арендовала участок общей площадью 102,9 тысяч гектаров из земель лесного фонда для ведения сельского хозяйства (северное оленеводство) с целью обустройства инфраструктуры для загонного (корального) содержания поголовья северных оленей. </w:t>
      </w:r>
      <w:r>
        <w:rPr>
          <w:sz w:val="24"/>
          <w:szCs w:val="24"/>
        </w:rPr>
      </w:r>
      <w:r>
        <w:rPr>
          <w:sz w:val="24"/>
          <w:szCs w:val="24"/>
        </w:rPr>
      </w:r>
    </w:p>
    <w:p>
      <w:pPr>
        <w:pStyle w:val="934"/>
        <w:ind w:firstLine="709"/>
        <w:jc w:val="both"/>
        <w:spacing w:line="276" w:lineRule="auto"/>
        <w:rPr>
          <w:rFonts w:eastAsia="Calibri"/>
          <w:sz w:val="24"/>
          <w:szCs w:val="24"/>
        </w:rPr>
      </w:pPr>
      <w:r>
        <w:rPr>
          <w:rFonts w:eastAsia="Calibri"/>
          <w:sz w:val="24"/>
          <w:szCs w:val="24"/>
        </w:rPr>
        <w:t xml:space="preserve">Благодаря проводимым конкурсам на окружном уровне при поддержке Губернатора Ханты-Мансийского автономного ок</w:t>
      </w:r>
      <w:r>
        <w:rPr>
          <w:rFonts w:eastAsia="Calibri"/>
          <w:sz w:val="24"/>
          <w:szCs w:val="24"/>
        </w:rPr>
        <w:t xml:space="preserve">руга – Югры и Правительства Ханты-Мансийского автономного округа – Югры ежегодно оленеводы Белоярского района участвуют и побеждают в конкурсах профессионального мастерства среди оленеводов на кубок Губернатора Ханты-Мансийского автономного округа – Югры. </w:t>
      </w:r>
      <w:r>
        <w:rPr>
          <w:rFonts w:eastAsia="Calibri"/>
          <w:sz w:val="24"/>
          <w:szCs w:val="24"/>
        </w:rPr>
      </w:r>
      <w:r>
        <w:rPr>
          <w:rFonts w:eastAsia="Calibri"/>
          <w:sz w:val="24"/>
          <w:szCs w:val="24"/>
        </w:rPr>
      </w:r>
    </w:p>
    <w:p>
      <w:pPr>
        <w:pStyle w:val="934"/>
        <w:ind w:firstLine="709"/>
        <w:jc w:val="both"/>
        <w:spacing w:line="276" w:lineRule="auto"/>
        <w:rPr>
          <w:sz w:val="24"/>
          <w:szCs w:val="24"/>
        </w:rPr>
      </w:pPr>
      <w:r>
        <w:rPr>
          <w:sz w:val="24"/>
          <w:szCs w:val="24"/>
        </w:rPr>
        <w:t xml:space="preserve">В феврале-марте 2024 года оленеводы Белоярского района участвовали в </w:t>
      </w:r>
      <w:r>
        <w:rPr>
          <w:sz w:val="24"/>
          <w:szCs w:val="24"/>
          <w:lang w:val="en-US"/>
        </w:rPr>
        <w:t xml:space="preserve">IX</w:t>
      </w:r>
      <w:r>
        <w:rPr>
          <w:sz w:val="24"/>
          <w:szCs w:val="24"/>
        </w:rPr>
        <w:t xml:space="preserve"> конкурсе профе</w:t>
      </w:r>
      <w:r>
        <w:rPr>
          <w:sz w:val="24"/>
          <w:szCs w:val="24"/>
        </w:rPr>
        <w:t xml:space="preserve">ссионального мастерства среди оленеводов Ханты-Мансийского автономного округа – Югры на кубок Губернатора Ханты-Мансийского автономного округа – Югры. По итогам конкурса абсолютным чемпионом среди мужчин признан Тарлин Юрий Кузьмич из с. Казым, в номинации</w:t>
      </w:r>
      <w:r>
        <w:rPr>
          <w:sz w:val="24"/>
          <w:szCs w:val="24"/>
        </w:rPr>
        <w:t xml:space="preserve"> «Ветеран Оленеводства» стал победителем Канев Андрей Савватеевич.  Кроме того, все три первых места по итогам производственных показателей заняли оленеводы Белоярского района (Тасьманов Николай Павлович, Пяк Сергей Александрович, Тэвлина Алина Олеговна). </w:t>
      </w:r>
      <w:r>
        <w:rPr>
          <w:sz w:val="24"/>
          <w:szCs w:val="24"/>
        </w:rPr>
      </w:r>
      <w:r>
        <w:rPr>
          <w:sz w:val="24"/>
          <w:szCs w:val="24"/>
        </w:rPr>
      </w:r>
    </w:p>
    <w:p>
      <w:pPr>
        <w:pStyle w:val="934"/>
        <w:ind w:firstLine="708"/>
        <w:jc w:val="both"/>
        <w:spacing w:line="276" w:lineRule="auto"/>
        <w:rPr>
          <w:rFonts w:eastAsia="Calibri"/>
          <w:sz w:val="24"/>
          <w:szCs w:val="24"/>
        </w:rPr>
      </w:pPr>
      <w:r>
        <w:rPr>
          <w:rFonts w:eastAsia="Calibri"/>
          <w:sz w:val="24"/>
          <w:szCs w:val="24"/>
        </w:rPr>
        <w:t xml:space="preserve">Промышленной добычей (вы</w:t>
      </w:r>
      <w:r>
        <w:rPr>
          <w:rFonts w:eastAsia="Calibri"/>
          <w:sz w:val="24"/>
          <w:szCs w:val="24"/>
        </w:rPr>
        <w:t xml:space="preserve">ловом) и переработкой рыбы на территории Белоярского района занимаются восемь предприятий и индивидуальных предпринимателей. По предварительным данным, в 2024 году на территории Белоярского района объем добычи рыбы составит 316,9 тонн (100,6% к 2023 году).</w:t>
      </w:r>
      <w:r>
        <w:rPr>
          <w:rFonts w:eastAsia="Calibri"/>
          <w:sz w:val="24"/>
          <w:szCs w:val="24"/>
        </w:rPr>
      </w:r>
      <w:r>
        <w:rPr>
          <w:rFonts w:eastAsia="Calibri"/>
          <w:sz w:val="24"/>
          <w:szCs w:val="24"/>
        </w:rPr>
      </w:r>
    </w:p>
    <w:p>
      <w:pPr>
        <w:pStyle w:val="934"/>
        <w:ind w:firstLine="709"/>
        <w:jc w:val="both"/>
        <w:spacing w:line="276" w:lineRule="auto"/>
        <w:rPr>
          <w:sz w:val="24"/>
          <w:szCs w:val="24"/>
        </w:rPr>
      </w:pPr>
      <w:r>
        <w:rPr>
          <w:sz w:val="24"/>
          <w:szCs w:val="24"/>
        </w:rPr>
        <w:t xml:space="preserve">Продукция белоярских производителей (мясные и колбасные изделия, рыбная и молочная) занимает призовые места в конкурсах, выставках-ярмарках.</w:t>
      </w:r>
      <w:r>
        <w:rPr>
          <w:sz w:val="24"/>
          <w:szCs w:val="24"/>
        </w:rPr>
      </w:r>
      <w:r>
        <w:rPr>
          <w:sz w:val="24"/>
          <w:szCs w:val="24"/>
        </w:rPr>
      </w:r>
    </w:p>
    <w:p>
      <w:pPr>
        <w:pStyle w:val="934"/>
        <w:ind w:firstLine="709"/>
        <w:jc w:val="both"/>
        <w:spacing w:line="276" w:lineRule="auto"/>
        <w:widowControl w:val="off"/>
        <w:rPr>
          <w:color w:val="ff0000"/>
          <w:sz w:val="24"/>
          <w:szCs w:val="24"/>
        </w:rPr>
      </w:pPr>
      <w:r>
        <w:rPr>
          <w:sz w:val="24"/>
          <w:szCs w:val="24"/>
        </w:rPr>
        <w:t xml:space="preserve">В декабре 2024 года шесть товаропроизводителей Белоярского района приняли участие в </w:t>
      </w:r>
      <w:r>
        <w:rPr>
          <w:sz w:val="24"/>
          <w:szCs w:val="24"/>
          <w:lang w:val="en-US"/>
        </w:rPr>
        <w:t xml:space="preserve">XXVII</w:t>
      </w:r>
      <w:r>
        <w:rPr>
          <w:sz w:val="24"/>
          <w:szCs w:val="24"/>
        </w:rPr>
        <w:t xml:space="preserve"> выставке-ярмарке окружных товаропроизводителей «Товары земли Югорской». Общество с ограниченной ответственностью</w:t>
      </w:r>
      <w:r>
        <w:rPr>
          <w:sz w:val="24"/>
          <w:szCs w:val="24"/>
        </w:rPr>
        <w:t xml:space="preserve"> «Сельскохозяйственное предприятие «Белоярское» получило диплом окружного конкурса «Лучший товар Югры 2024» в номинации – производство молочных продуктов, мяса и мясопродуктов (колбаса «Молочная», йогурт фруктово-ягодный мдж 10%, сыр «Качотта»). Общество с</w:t>
      </w:r>
      <w:r>
        <w:rPr>
          <w:sz w:val="24"/>
          <w:szCs w:val="24"/>
        </w:rPr>
        <w:t xml:space="preserve"> ограниченной ответственностью «Городской центр торговли» получило диплом окружного конкурса «Лучший товар Югры 2024» в номинации – производство хлеба и кондитерских изделий (батон «Молочный», хлеб «Живая рожь с изюмом», хлеб «Солодовый с подсолнечником»).</w:t>
      </w:r>
      <w:r>
        <w:rPr>
          <w:color w:val="ff0000"/>
          <w:sz w:val="24"/>
          <w:szCs w:val="24"/>
        </w:rPr>
      </w:r>
      <w:r>
        <w:rPr>
          <w:color w:val="ff0000"/>
          <w:sz w:val="24"/>
          <w:szCs w:val="24"/>
        </w:rPr>
      </w:r>
    </w:p>
    <w:p>
      <w:pPr>
        <w:pStyle w:val="934"/>
        <w:jc w:val="both"/>
        <w:spacing w:line="276" w:lineRule="auto"/>
        <w:tabs>
          <w:tab w:val="left" w:pos="7890" w:leader="none"/>
        </w:tabs>
        <w:rPr>
          <w:b/>
          <w:i/>
          <w:color w:val="ff0000"/>
          <w:sz w:val="24"/>
          <w:szCs w:val="24"/>
        </w:rPr>
        <w:outlineLvl w:val="0"/>
      </w:pPr>
      <w:r>
        <w:rPr>
          <w:b/>
          <w:i/>
          <w:color w:val="ff0000"/>
          <w:sz w:val="24"/>
          <w:szCs w:val="24"/>
        </w:rPr>
      </w:r>
      <w:r>
        <w:rPr>
          <w:b/>
          <w:i/>
          <w:color w:val="ff0000"/>
          <w:sz w:val="24"/>
          <w:szCs w:val="24"/>
        </w:rPr>
      </w:r>
      <w:r>
        <w:rPr>
          <w:b/>
          <w:i/>
          <w:color w:val="ff0000"/>
          <w:sz w:val="24"/>
          <w:szCs w:val="24"/>
        </w:rPr>
      </w:r>
    </w:p>
    <w:p>
      <w:pPr>
        <w:pStyle w:val="934"/>
        <w:jc w:val="both"/>
        <w:spacing w:line="276" w:lineRule="auto"/>
        <w:tabs>
          <w:tab w:val="left" w:pos="7890" w:leader="none"/>
        </w:tabs>
        <w:rPr>
          <w:b/>
          <w:i/>
          <w:sz w:val="24"/>
          <w:szCs w:val="24"/>
        </w:rPr>
        <w:outlineLvl w:val="0"/>
      </w:pPr>
      <w:r>
        <w:rPr>
          <w:b/>
          <w:i/>
          <w:sz w:val="24"/>
          <w:szCs w:val="24"/>
        </w:rPr>
        <w:t xml:space="preserve">Потребительский рынок</w:t>
        <w:tab/>
      </w:r>
      <w:r>
        <w:rPr>
          <w:b/>
          <w:i/>
          <w:sz w:val="24"/>
          <w:szCs w:val="24"/>
        </w:rPr>
      </w:r>
      <w:r>
        <w:rPr>
          <w:b/>
          <w:i/>
          <w:sz w:val="24"/>
          <w:szCs w:val="24"/>
        </w:rPr>
      </w:r>
    </w:p>
    <w:p>
      <w:pPr>
        <w:pStyle w:val="934"/>
        <w:ind w:firstLine="709"/>
        <w:jc w:val="both"/>
        <w:spacing w:line="276" w:lineRule="auto"/>
        <w:rPr>
          <w:sz w:val="24"/>
          <w:szCs w:val="24"/>
        </w:rPr>
      </w:pPr>
      <w:r>
        <w:rPr>
          <w:sz w:val="24"/>
          <w:szCs w:val="24"/>
        </w:rPr>
        <w:t xml:space="preserve">На потребительском рынке Белоярского района на 1 января 2025 года фун</w:t>
      </w:r>
      <w:r>
        <w:rPr>
          <w:sz w:val="24"/>
          <w:szCs w:val="24"/>
        </w:rPr>
        <w:t xml:space="preserve">кционирует 192 предприятия розничной торговли торговой площадью 27 701 кв. метров (из них 8 торговых центров торговой площадью 13 454 кв. метров), а также 11 павильонов торговой площадью 203 кв. метров. Общая торговая площадь составляет 27 904 кв. метров. </w:t>
      </w:r>
      <w:r>
        <w:rPr>
          <w:sz w:val="24"/>
          <w:szCs w:val="24"/>
        </w:rPr>
      </w:r>
      <w:r>
        <w:rPr>
          <w:sz w:val="24"/>
          <w:szCs w:val="24"/>
        </w:rPr>
      </w:r>
    </w:p>
    <w:p>
      <w:pPr>
        <w:pStyle w:val="934"/>
        <w:ind w:firstLine="709"/>
        <w:jc w:val="both"/>
        <w:spacing w:line="276" w:lineRule="auto"/>
        <w:rPr>
          <w:sz w:val="24"/>
          <w:szCs w:val="24"/>
        </w:rPr>
      </w:pPr>
      <w:r>
        <w:rPr>
          <w:sz w:val="24"/>
          <w:szCs w:val="24"/>
        </w:rPr>
        <w:t xml:space="preserve">На территории Белоярского района функционируют 44 объекта общественного питания на 3 777 посадочных мест, в том числе 27 предприятий открытой сети на 1 658 посадочных мест. </w:t>
      </w:r>
      <w:r>
        <w:rPr>
          <w:sz w:val="24"/>
          <w:szCs w:val="24"/>
        </w:rPr>
      </w:r>
      <w:r>
        <w:rPr>
          <w:sz w:val="24"/>
          <w:szCs w:val="24"/>
        </w:rPr>
      </w:r>
    </w:p>
    <w:p>
      <w:pPr>
        <w:pStyle w:val="934"/>
        <w:ind w:firstLine="567"/>
        <w:jc w:val="both"/>
        <w:spacing w:line="276" w:lineRule="auto"/>
        <w:widowControl w:val="off"/>
        <w:rPr>
          <w:sz w:val="24"/>
          <w:szCs w:val="24"/>
        </w:rPr>
      </w:pPr>
      <w:r>
        <w:rPr>
          <w:sz w:val="24"/>
          <w:szCs w:val="24"/>
        </w:rPr>
        <w:t xml:space="preserve">На территории Белоярского района работают продовольственные ритейлеры федерального масштаба, магазины торговых сетей «Магнит», «Пятерочка», «Красное &amp; Белое», «Детский мир», «ДНС», </w:t>
      </w:r>
      <w:r>
        <w:rPr>
          <w:bCs/>
          <w:sz w:val="24"/>
          <w:szCs w:val="24"/>
        </w:rPr>
        <w:t xml:space="preserve">«</w:t>
      </w:r>
      <w:r>
        <w:rPr>
          <w:bCs/>
          <w:sz w:val="24"/>
          <w:szCs w:val="24"/>
          <w:lang w:val="en-US"/>
        </w:rPr>
        <w:t xml:space="preserve">Kari</w:t>
      </w:r>
      <w:r>
        <w:rPr>
          <w:bCs/>
          <w:sz w:val="24"/>
          <w:szCs w:val="24"/>
        </w:rPr>
        <w:t xml:space="preserve">»</w:t>
      </w:r>
      <w:r>
        <w:rPr>
          <w:sz w:val="24"/>
          <w:szCs w:val="24"/>
        </w:rPr>
        <w:t xml:space="preserve">, «Бургер Кинг», «Золла», «Золотой 585», «Фикс Прайс», «Светофор».</w:t>
      </w:r>
      <w:r>
        <w:rPr>
          <w:sz w:val="24"/>
          <w:szCs w:val="24"/>
          <w:shd w:val="clear" w:color="auto" w:fill="ffffff"/>
        </w:rPr>
        <w:t xml:space="preserve"> Функционируют пункты выдачи интернет-магазинов «Сима-Ленд», «Озон», «Вайлдбериз», «Клюква». В Белоярском районе действует торгово-развлекательный центр «Оазис Плаза».</w:t>
      </w:r>
      <w:r>
        <w:rPr>
          <w:sz w:val="24"/>
          <w:szCs w:val="24"/>
        </w:rPr>
        <w:t xml:space="preserve"> </w:t>
      </w:r>
      <w:r>
        <w:rPr>
          <w:sz w:val="24"/>
          <w:szCs w:val="24"/>
        </w:rPr>
      </w:r>
      <w:r>
        <w:rPr>
          <w:sz w:val="24"/>
          <w:szCs w:val="24"/>
        </w:rPr>
      </w:r>
    </w:p>
    <w:p>
      <w:pPr>
        <w:pStyle w:val="934"/>
        <w:ind w:firstLine="567"/>
        <w:jc w:val="both"/>
        <w:spacing w:line="276" w:lineRule="auto"/>
        <w:widowControl w:val="off"/>
        <w:rPr>
          <w:sz w:val="24"/>
          <w:szCs w:val="24"/>
        </w:rPr>
      </w:pPr>
      <w:r>
        <w:rPr>
          <w:sz w:val="24"/>
          <w:szCs w:val="24"/>
        </w:rPr>
        <w:t xml:space="preserve">В 2024 году состоялось открытие 1 магазина «Пятерочка» (в г. Белоярский), 2 магазинов «Красное &amp; Белое» (г. Белоярский и п. Лыхма), ювелирного салона «Соколов» (ТРЦ «Оазис Плаза» в г. Белоярский), </w:t>
      </w:r>
      <w:r>
        <w:rPr>
          <w:bCs/>
          <w:sz w:val="24"/>
          <w:szCs w:val="24"/>
        </w:rPr>
        <w:t xml:space="preserve">магазина низких цен «Доброцен» (г. Белоярский), </w:t>
      </w:r>
      <w:r>
        <w:rPr>
          <w:sz w:val="24"/>
          <w:szCs w:val="24"/>
        </w:rPr>
        <w:t xml:space="preserve">и магазина «Спортлидер» (ТЦ «Нарасхват» в г. Белоярский). В 2025 году планируется открытие магазина «Пятерочка» (ТЦ «Нарасхват» в г. Белоярский) и магазина «Красное &amp; Белое» (п. Верхнеказымский).</w:t>
      </w:r>
      <w:r>
        <w:rPr>
          <w:sz w:val="24"/>
          <w:szCs w:val="24"/>
        </w:rPr>
      </w:r>
      <w:r>
        <w:rPr>
          <w:sz w:val="24"/>
          <w:szCs w:val="24"/>
        </w:rPr>
      </w:r>
    </w:p>
    <w:p>
      <w:pPr>
        <w:pStyle w:val="934"/>
        <w:jc w:val="both"/>
        <w:spacing w:line="276" w:lineRule="auto"/>
        <w:rPr>
          <w:b/>
          <w:i/>
          <w:color w:val="ff0000"/>
          <w:sz w:val="24"/>
          <w:szCs w:val="24"/>
        </w:rPr>
      </w:pPr>
      <w:r>
        <w:rPr>
          <w:b/>
          <w:i/>
          <w:color w:val="ff0000"/>
          <w:sz w:val="24"/>
          <w:szCs w:val="24"/>
        </w:rPr>
      </w:r>
      <w:r>
        <w:rPr>
          <w:b/>
          <w:i/>
          <w:color w:val="ff0000"/>
          <w:sz w:val="24"/>
          <w:szCs w:val="24"/>
        </w:rPr>
      </w:r>
      <w:r>
        <w:rPr>
          <w:b/>
          <w:i/>
          <w:color w:val="ff0000"/>
          <w:sz w:val="24"/>
          <w:szCs w:val="24"/>
        </w:rPr>
      </w:r>
    </w:p>
    <w:p>
      <w:pPr>
        <w:pStyle w:val="934"/>
        <w:jc w:val="both"/>
        <w:spacing w:line="276" w:lineRule="auto"/>
        <w:rPr>
          <w:b/>
          <w:i/>
          <w:sz w:val="24"/>
          <w:szCs w:val="24"/>
        </w:rPr>
      </w:pPr>
      <w:r>
        <w:rPr>
          <w:b/>
          <w:i/>
          <w:sz w:val="24"/>
          <w:szCs w:val="24"/>
        </w:rPr>
        <w:t xml:space="preserve">Развитие малого и среднего предпринимательства</w:t>
      </w:r>
      <w:r>
        <w:rPr>
          <w:b/>
          <w:i/>
          <w:sz w:val="24"/>
          <w:szCs w:val="24"/>
        </w:rPr>
      </w:r>
      <w:r>
        <w:rPr>
          <w:b/>
          <w:i/>
          <w:sz w:val="24"/>
          <w:szCs w:val="24"/>
        </w:rPr>
      </w:r>
    </w:p>
    <w:p>
      <w:pPr>
        <w:pStyle w:val="934"/>
        <w:ind w:firstLine="709"/>
        <w:jc w:val="both"/>
        <w:spacing w:line="276" w:lineRule="auto"/>
        <w:rPr>
          <w:color w:val="00b050"/>
          <w:sz w:val="24"/>
          <w:szCs w:val="24"/>
        </w:rPr>
      </w:pPr>
      <w:r>
        <w:rPr>
          <w:sz w:val="24"/>
          <w:szCs w:val="24"/>
        </w:rPr>
        <w:t xml:space="preserve">В соответствии с Единым реестром субъектов малого и среднего предпринимател</w:t>
      </w:r>
      <w:r>
        <w:rPr>
          <w:sz w:val="24"/>
          <w:szCs w:val="24"/>
        </w:rPr>
        <w:t xml:space="preserve">ьства Федеральной налоговой службы России по состоянию на 1 января 2025 года на территории Белоярского района в реестре состоят 577 субъектов малого и среднего предпринимательства (502 индивидуальных предпринимателя и 75 юридических лиц). В качестве самоза</w:t>
      </w:r>
      <w:r>
        <w:rPr>
          <w:sz w:val="24"/>
          <w:szCs w:val="24"/>
        </w:rPr>
        <w:t xml:space="preserve">нятых в 2024 году зарегистрированы 1844 человека плательщика налога на профессиональный доход, что в 1,3 раза больше, чем по состоянию на конец 2023 года (1413 человек). На долю занятых в малом бизнесе приходится 26,6% от общей численности всех работающих.</w:t>
      </w:r>
      <w:r>
        <w:rPr>
          <w:color w:val="00b050"/>
          <w:sz w:val="24"/>
          <w:szCs w:val="24"/>
        </w:rPr>
      </w:r>
      <w:r>
        <w:rPr>
          <w:color w:val="00b050"/>
          <w:sz w:val="24"/>
          <w:szCs w:val="24"/>
        </w:rPr>
      </w:r>
    </w:p>
    <w:p>
      <w:pPr>
        <w:pStyle w:val="934"/>
        <w:ind w:firstLine="709"/>
        <w:jc w:val="both"/>
        <w:spacing w:line="276" w:lineRule="auto"/>
        <w:rPr>
          <w:sz w:val="24"/>
          <w:szCs w:val="24"/>
        </w:rPr>
      </w:pPr>
      <w:r>
        <w:rPr>
          <w:sz w:val="24"/>
          <w:szCs w:val="24"/>
        </w:rPr>
        <w:t xml:space="preserve">Наибольшая часть предприятий сосредоточена в сфере торговли оптовой и розничной, ремонта автотранс</w:t>
      </w:r>
      <w:r>
        <w:rPr>
          <w:sz w:val="24"/>
          <w:szCs w:val="24"/>
        </w:rPr>
        <w:t xml:space="preserve">портных средств и мотоциклов (37,6</w:t>
      </w:r>
      <w:r>
        <w:rPr>
          <w:sz w:val="24"/>
          <w:szCs w:val="24"/>
        </w:rPr>
        <w:t xml:space="preserve">%), транспортировки и хранени</w:t>
      </w:r>
      <w:r>
        <w:rPr>
          <w:sz w:val="24"/>
          <w:szCs w:val="24"/>
        </w:rPr>
        <w:t xml:space="preserve">я (10,1</w:t>
      </w:r>
      <w:r>
        <w:rPr>
          <w:sz w:val="24"/>
          <w:szCs w:val="24"/>
        </w:rPr>
        <w:t xml:space="preserve">%), пред</w:t>
      </w:r>
      <w:r>
        <w:rPr>
          <w:sz w:val="24"/>
          <w:szCs w:val="24"/>
        </w:rPr>
        <w:t xml:space="preserve">оставления прочих видов услуг (8,1</w:t>
      </w:r>
      <w:r>
        <w:rPr>
          <w:sz w:val="24"/>
          <w:szCs w:val="24"/>
        </w:rPr>
        <w:t xml:space="preserve">%), деятельности гостиниц и пред</w:t>
      </w:r>
      <w:r>
        <w:rPr>
          <w:sz w:val="24"/>
          <w:szCs w:val="24"/>
        </w:rPr>
        <w:t xml:space="preserve">приятий общественного питания (8,1%), строительства (6,9</w:t>
      </w:r>
      <w:r>
        <w:rPr>
          <w:sz w:val="24"/>
          <w:szCs w:val="24"/>
        </w:rPr>
        <w:t xml:space="preserve">%).</w:t>
      </w:r>
      <w:r>
        <w:rPr>
          <w:sz w:val="24"/>
          <w:szCs w:val="24"/>
        </w:rPr>
      </w:r>
      <w:r>
        <w:rPr>
          <w:sz w:val="24"/>
          <w:szCs w:val="24"/>
        </w:rPr>
      </w:r>
    </w:p>
    <w:p>
      <w:pPr>
        <w:pStyle w:val="934"/>
        <w:ind w:firstLine="709"/>
        <w:jc w:val="both"/>
        <w:spacing w:line="276" w:lineRule="auto"/>
        <w:rPr>
          <w:sz w:val="24"/>
          <w:szCs w:val="24"/>
        </w:rPr>
      </w:pPr>
      <w:r>
        <w:rPr>
          <w:sz w:val="24"/>
          <w:szCs w:val="24"/>
        </w:rPr>
        <w:t xml:space="preserve">Определенную роль в развитии</w:t>
      </w:r>
      <w:r>
        <w:rPr>
          <w:sz w:val="24"/>
          <w:szCs w:val="24"/>
        </w:rPr>
        <w:t xml:space="preserve"> малого предпринимательства играет муниципальная политика, задача которой – создание правовых, административных условий для развития важных секторов экономики. </w:t>
      </w:r>
      <w:r>
        <w:rPr>
          <w:sz w:val="24"/>
          <w:szCs w:val="24"/>
        </w:rPr>
      </w:r>
      <w:r>
        <w:rPr>
          <w:sz w:val="24"/>
          <w:szCs w:val="24"/>
        </w:rPr>
      </w:r>
    </w:p>
    <w:p>
      <w:pPr>
        <w:pStyle w:val="934"/>
        <w:ind w:firstLine="709"/>
        <w:jc w:val="both"/>
        <w:spacing w:line="276" w:lineRule="auto"/>
        <w:rPr>
          <w:sz w:val="24"/>
          <w:szCs w:val="24"/>
        </w:rPr>
      </w:pPr>
      <w:r>
        <w:rPr>
          <w:sz w:val="24"/>
          <w:szCs w:val="24"/>
        </w:rPr>
        <w:t xml:space="preserve">Н</w:t>
      </w:r>
      <w:r>
        <w:rPr>
          <w:sz w:val="24"/>
          <w:szCs w:val="24"/>
        </w:rPr>
        <w:t xml:space="preserve">а территории Белоярского района, как и в Ханты-Мансийском автономном округе – Югре, реализ</w:t>
      </w:r>
      <w:r>
        <w:rPr>
          <w:sz w:val="24"/>
          <w:szCs w:val="24"/>
        </w:rPr>
        <w:t xml:space="preserve">уется национальный проект «Малое и среднее предпринимательство и поддержка индивидуальной предпринимательской инициативы». Проект осуществляется в рамках муниципальной программы Белоярского района «Развитие малого и среднего предпринимательства и туризма».</w:t>
      </w:r>
      <w:r>
        <w:rPr>
          <w:sz w:val="24"/>
          <w:szCs w:val="24"/>
        </w:rPr>
      </w:r>
      <w:r>
        <w:rPr>
          <w:sz w:val="24"/>
          <w:szCs w:val="24"/>
        </w:rPr>
      </w:r>
    </w:p>
    <w:p>
      <w:pPr>
        <w:pStyle w:val="934"/>
        <w:contextualSpacing/>
        <w:ind w:firstLine="567"/>
        <w:jc w:val="both"/>
        <w:spacing w:line="276" w:lineRule="auto"/>
        <w:tabs>
          <w:tab w:val="left" w:pos="993" w:leader="none"/>
        </w:tabs>
        <w:rPr>
          <w:rFonts w:eastAsia="Calibri"/>
          <w:color w:val="ff0000"/>
          <w:sz w:val="24"/>
          <w:szCs w:val="24"/>
          <w:lang w:eastAsia="en-US"/>
        </w:rPr>
      </w:pPr>
      <w:r>
        <w:rPr>
          <w:sz w:val="24"/>
          <w:szCs w:val="24"/>
        </w:rPr>
        <w:t xml:space="preserve">В целях реализации указанной муниципальной программы в 2024 году объем финансовой поддержки малого бизнеса и туризма за счет всех источников финансирования состави</w:t>
      </w:r>
      <w:r>
        <w:rPr>
          <w:sz w:val="24"/>
          <w:szCs w:val="24"/>
        </w:rPr>
        <w:t xml:space="preserve">л 16 млн. рублей, в том числе за счет средств бюджета Белоярского района – 12,7 млн. рублей, заключено 23 соглашения о предоставлении субсидий. Реализация мероприятий по развитию малого бизнеса позволила сохранить 280 рабочих мест, создать 38 рабочих мест.</w:t>
      </w:r>
      <w:r>
        <w:rPr>
          <w:rFonts w:eastAsia="Calibri"/>
          <w:sz w:val="24"/>
          <w:szCs w:val="24"/>
          <w:lang w:eastAsia="en-US"/>
        </w:rPr>
        <w:t xml:space="preserve"> Информационно - консультационная поддержка оказана 285 субъектам, включая индивидуальных предпринимателей, физических лиц и самозанятых граждан.</w:t>
      </w:r>
      <w:r>
        <w:rPr>
          <w:rFonts w:eastAsia="Calibri"/>
          <w:color w:val="ff0000"/>
          <w:sz w:val="24"/>
          <w:szCs w:val="24"/>
          <w:lang w:eastAsia="en-US"/>
        </w:rPr>
      </w:r>
      <w:r>
        <w:rPr>
          <w:rFonts w:eastAsia="Calibri"/>
          <w:color w:val="ff0000"/>
          <w:sz w:val="24"/>
          <w:szCs w:val="24"/>
          <w:lang w:eastAsia="en-US"/>
        </w:rPr>
      </w:r>
    </w:p>
    <w:p>
      <w:pPr>
        <w:pStyle w:val="934"/>
        <w:ind w:firstLine="709"/>
        <w:jc w:val="both"/>
        <w:spacing w:line="300" w:lineRule="auto"/>
        <w:widowControl w:val="off"/>
        <w:rPr>
          <w:color w:val="ff0000"/>
          <w:sz w:val="24"/>
          <w:szCs w:val="24"/>
        </w:rPr>
      </w:pPr>
      <w:r>
        <w:rPr>
          <w:sz w:val="24"/>
          <w:szCs w:val="24"/>
        </w:rPr>
        <w:t xml:space="preserve">Кроме того, за 2024 год отдел социального обеспечения и опеки по Белоярскому району казенного учреждения Ханты-Мансийского автономного округа – Югры «Агентство с</w:t>
      </w:r>
      <w:r>
        <w:rPr>
          <w:sz w:val="24"/>
          <w:szCs w:val="24"/>
        </w:rPr>
        <w:t xml:space="preserve">оциального благополучия населения» оказал государственную социальную помощь 21 индивидуальному предпринимателю на осуществление своей деятельности в размере 7,3 млн. рублей и 1 самозанятому на ведение личного подсобного хозяйства в размере 0,2 млн. рублей.</w:t>
      </w:r>
      <w:r>
        <w:rPr>
          <w:color w:val="ff0000"/>
          <w:sz w:val="24"/>
          <w:szCs w:val="24"/>
        </w:rPr>
      </w:r>
      <w:r>
        <w:rPr>
          <w:color w:val="ff0000"/>
          <w:sz w:val="24"/>
          <w:szCs w:val="24"/>
        </w:rPr>
      </w:r>
    </w:p>
    <w:p>
      <w:pPr>
        <w:pStyle w:val="934"/>
        <w:ind w:firstLine="709"/>
        <w:jc w:val="both"/>
        <w:spacing w:line="276" w:lineRule="auto"/>
        <w:widowControl w:val="off"/>
        <w:rPr>
          <w:bCs/>
          <w:sz w:val="24"/>
          <w:szCs w:val="24"/>
        </w:rPr>
      </w:pPr>
      <w:r>
        <w:rPr>
          <w:rFonts w:eastAsia="Calibri"/>
          <w:sz w:val="24"/>
          <w:szCs w:val="24"/>
          <w:lang w:eastAsia="en-US"/>
        </w:rPr>
        <w:t xml:space="preserve">Малый бизнес продолжает развиваться, реализуются новые инвестиционные проекты. В 2024 году состоялось открытие автомойки «Чистый город» (создано 5 новых рабочих мест),</w:t>
      </w:r>
      <w:r>
        <w:rPr>
          <w:rFonts w:eastAsia="Calibri"/>
          <w:color w:val="ff0000"/>
          <w:sz w:val="24"/>
          <w:szCs w:val="24"/>
          <w:lang w:eastAsia="en-US"/>
        </w:rPr>
        <w:t xml:space="preserve"> </w:t>
      </w:r>
      <w:r>
        <w:rPr>
          <w:color w:val="000000"/>
          <w:sz w:val="24"/>
          <w:szCs w:val="24"/>
        </w:rPr>
        <w:t xml:space="preserve">открыт второй салон красоты «Донна Тинн» (создано 8 новых рабочих мест), </w:t>
      </w:r>
      <w:r>
        <w:rPr>
          <w:bCs/>
          <w:sz w:val="24"/>
          <w:szCs w:val="24"/>
        </w:rPr>
        <w:t xml:space="preserve">караоке-бар (создано 3 новых рабочих места).</w:t>
      </w:r>
      <w:r>
        <w:rPr>
          <w:bCs/>
          <w:sz w:val="24"/>
          <w:szCs w:val="24"/>
        </w:rPr>
      </w:r>
      <w:r>
        <w:rPr>
          <w:bCs/>
          <w:sz w:val="24"/>
          <w:szCs w:val="24"/>
        </w:rPr>
      </w:r>
    </w:p>
    <w:p>
      <w:pPr>
        <w:pStyle w:val="934"/>
        <w:contextualSpacing/>
        <w:ind w:firstLine="709"/>
        <w:jc w:val="both"/>
        <w:spacing w:line="276" w:lineRule="auto"/>
        <w:tabs>
          <w:tab w:val="left" w:pos="993" w:leader="none"/>
        </w:tabs>
        <w:rPr>
          <w:sz w:val="24"/>
          <w:szCs w:val="24"/>
        </w:rPr>
      </w:pPr>
      <w:r>
        <w:rPr>
          <w:sz w:val="24"/>
          <w:szCs w:val="24"/>
        </w:rPr>
        <w:t xml:space="preserve">АО «Куноватская неф</w:t>
      </w:r>
      <w:r>
        <w:rPr>
          <w:sz w:val="24"/>
          <w:szCs w:val="24"/>
        </w:rPr>
        <w:t xml:space="preserve">тегазовая компания» с 2020 года ведет обустройство Окраинного месторождения полезных ископаемых на территории Белоярского района. В марте 2023 года  месторождение введено в пробную эксплуатацию. В 2024 году проведены ремонтные и подготовительные работы на </w:t>
      </w:r>
      <w:r>
        <w:rPr>
          <w:sz w:val="24"/>
          <w:szCs w:val="24"/>
        </w:rPr>
        <w:t xml:space="preserve">мобильной установке подготовки нефти и пункте налива, проведена предпроектная подготовка для строительства дороги и воздушной линии электропередачи, подготовлен проект энергоснабжения, проведен капитальный ремонт скважины Окраинного месторождения, заказан </w:t>
      </w:r>
      <w:r>
        <w:rPr>
          <w:sz w:val="24"/>
          <w:szCs w:val="24"/>
        </w:rPr>
        <w:t xml:space="preserve">проект на бурение поисковой скважины на Среднеокраинном месторождении. В 2025 году компанией запланировано доосвоение месторождений и организация добычи нефти, а также проектирование и строительство проезда и строительство воздушной линии электропередачи. </w:t>
      </w:r>
      <w:r>
        <w:rPr>
          <w:sz w:val="24"/>
          <w:szCs w:val="24"/>
        </w:rPr>
      </w:r>
      <w:r>
        <w:rPr>
          <w:sz w:val="24"/>
          <w:szCs w:val="24"/>
        </w:rPr>
      </w:r>
    </w:p>
    <w:p>
      <w:pPr>
        <w:pStyle w:val="934"/>
        <w:contextualSpacing/>
        <w:ind w:firstLine="567"/>
        <w:jc w:val="both"/>
        <w:spacing w:line="276" w:lineRule="auto"/>
        <w:tabs>
          <w:tab w:val="left" w:pos="993" w:leader="none"/>
        </w:tabs>
        <w:rPr>
          <w:sz w:val="24"/>
          <w:szCs w:val="24"/>
        </w:rPr>
      </w:pPr>
      <w:r>
        <w:rPr>
          <w:sz w:val="24"/>
          <w:szCs w:val="24"/>
        </w:rPr>
        <w:t xml:space="preserve">ООО «Белоярскнефтесервис» стал первым резидентом Арктической зоны. В рамках соглашения с К</w:t>
      </w:r>
      <w:r>
        <w:rPr>
          <w:sz w:val="24"/>
          <w:szCs w:val="24"/>
        </w:rPr>
        <w:t xml:space="preserve">орпорацией развития Дальнего Востока и Арктики запланировано строительство объектов промышленной инфраструктуры, связанного с обустройством Окраинного месторождения. Объем инвестиций составит порядка 3 млрд. рублей, планируется создать до 150 рабочих мест.</w:t>
      </w:r>
      <w:r>
        <w:rPr>
          <w:sz w:val="24"/>
          <w:szCs w:val="24"/>
        </w:rPr>
      </w:r>
      <w:r>
        <w:rPr>
          <w:sz w:val="24"/>
          <w:szCs w:val="24"/>
        </w:rPr>
      </w:r>
    </w:p>
    <w:p>
      <w:pPr>
        <w:pStyle w:val="934"/>
        <w:ind w:firstLine="709"/>
        <w:jc w:val="both"/>
        <w:spacing w:line="276" w:lineRule="auto"/>
        <w:rPr>
          <w:rFonts w:eastAsia="Calibri"/>
          <w:sz w:val="24"/>
          <w:szCs w:val="24"/>
          <w:lang w:eastAsia="en-US"/>
        </w:rPr>
      </w:pPr>
      <w:r>
        <w:rPr>
          <w:rFonts w:eastAsia="Calibri"/>
          <w:sz w:val="24"/>
          <w:szCs w:val="24"/>
          <w:lang w:eastAsia="en-US"/>
        </w:rPr>
        <w:t xml:space="preserve">В мае 2024 года подведены итоги конкурса «Предприниматель года-2024». Лучшие предприниматели были определены в 9 номинациях, </w:t>
      </w:r>
      <w:r>
        <w:rPr>
          <w:sz w:val="24"/>
          <w:szCs w:val="24"/>
        </w:rPr>
        <w:t xml:space="preserve">впервые в конкурсе принимали участие самозанятые граждане и общины коренных малочисленных народов Севера. </w:t>
      </w:r>
      <w:r>
        <w:rPr>
          <w:rFonts w:eastAsia="Calibri"/>
          <w:sz w:val="24"/>
          <w:szCs w:val="24"/>
          <w:lang w:eastAsia="en-US"/>
        </w:rPr>
        <w:t xml:space="preserve">Победителем конкурса «Предприниматель года – 2024» признана индивидуальный предприниматель </w:t>
      </w:r>
      <w:r>
        <w:rPr>
          <w:sz w:val="24"/>
          <w:szCs w:val="24"/>
        </w:rPr>
        <w:t xml:space="preserve">Прокудина Юлия Николаевна, руководитель медицинской оптики «Прозрение»</w:t>
      </w:r>
      <w:r>
        <w:rPr>
          <w:rFonts w:eastAsia="Calibri"/>
          <w:sz w:val="24"/>
          <w:szCs w:val="24"/>
          <w:lang w:eastAsia="en-US"/>
        </w:rPr>
        <w:t xml:space="preserve">. </w:t>
      </w:r>
      <w:r>
        <w:rPr>
          <w:rFonts w:eastAsia="Calibri"/>
          <w:sz w:val="24"/>
          <w:szCs w:val="24"/>
          <w:lang w:eastAsia="en-US"/>
        </w:rPr>
      </w:r>
      <w:r>
        <w:rPr>
          <w:rFonts w:eastAsia="Calibri"/>
          <w:sz w:val="24"/>
          <w:szCs w:val="24"/>
          <w:lang w:eastAsia="en-US"/>
        </w:rPr>
      </w:r>
    </w:p>
    <w:p>
      <w:pPr>
        <w:pStyle w:val="934"/>
        <w:ind w:firstLine="709"/>
        <w:jc w:val="both"/>
        <w:spacing w:line="276" w:lineRule="auto"/>
        <w:rPr>
          <w:rFonts w:eastAsia="Calibri"/>
          <w:sz w:val="24"/>
          <w:szCs w:val="24"/>
          <w:lang w:eastAsia="en-US"/>
        </w:rPr>
      </w:pPr>
      <w:r>
        <w:rPr>
          <w:rFonts w:eastAsia="Calibri"/>
          <w:sz w:val="24"/>
          <w:szCs w:val="24"/>
          <w:lang w:eastAsia="en-US"/>
        </w:rPr>
        <w:t xml:space="preserve">В рамках межмуниципального сотрудничества с Октябрьским, Березовским районом в 2024 году состоялись совместные мероприятия и выставки-ярмарки предпринимателей Белоярского, Октябрьского и Березовского районов. </w:t>
      </w:r>
      <w:r>
        <w:rPr>
          <w:rFonts w:eastAsia="Calibri"/>
          <w:sz w:val="24"/>
          <w:szCs w:val="24"/>
          <w:lang w:eastAsia="en-US"/>
        </w:rPr>
      </w:r>
      <w:r>
        <w:rPr>
          <w:rFonts w:eastAsia="Calibri"/>
          <w:sz w:val="24"/>
          <w:szCs w:val="24"/>
          <w:lang w:eastAsia="en-US"/>
        </w:rPr>
      </w:r>
    </w:p>
    <w:p>
      <w:pPr>
        <w:pStyle w:val="934"/>
        <w:contextualSpacing/>
        <w:ind w:firstLine="709"/>
        <w:jc w:val="both"/>
        <w:spacing w:line="276" w:lineRule="auto"/>
        <w:tabs>
          <w:tab w:val="left" w:pos="993" w:leader="none"/>
        </w:tabs>
        <w:rPr>
          <w:sz w:val="24"/>
          <w:szCs w:val="24"/>
        </w:rPr>
      </w:pPr>
      <w:r>
        <w:rPr>
          <w:sz w:val="24"/>
          <w:szCs w:val="24"/>
        </w:rPr>
        <w:t xml:space="preserve">В малом бизнесе развивается социальное направление – вводятся новые концепции развития детей, подростков через творческие методы работы. В настоящее время на территории Белоярского района успешно работают 7 социальных предприятий. </w:t>
      </w:r>
      <w:r>
        <w:rPr>
          <w:sz w:val="24"/>
          <w:szCs w:val="24"/>
        </w:rPr>
      </w:r>
      <w:r>
        <w:rPr>
          <w:sz w:val="24"/>
          <w:szCs w:val="24"/>
        </w:rPr>
      </w:r>
    </w:p>
    <w:p>
      <w:pPr>
        <w:pStyle w:val="934"/>
        <w:contextualSpacing/>
        <w:ind w:firstLine="709"/>
        <w:jc w:val="both"/>
        <w:spacing w:line="276" w:lineRule="auto"/>
        <w:tabs>
          <w:tab w:val="left" w:pos="993" w:leader="none"/>
        </w:tabs>
        <w:rPr>
          <w:sz w:val="24"/>
          <w:szCs w:val="24"/>
        </w:rPr>
      </w:pPr>
      <w:r>
        <w:rPr>
          <w:sz w:val="24"/>
          <w:szCs w:val="24"/>
        </w:rPr>
        <w:t xml:space="preserve">В</w:t>
      </w:r>
      <w:r>
        <w:rPr>
          <w:sz w:val="24"/>
          <w:szCs w:val="24"/>
        </w:rPr>
        <w:t xml:space="preserve"> результате участия в окружных и федеральных конкурсах в 2024 году социально ориентированными некоммерческими организациями привлечено на реализацию проектов 17,7 млн. рублей.</w:t>
      </w:r>
      <w:r>
        <w:rPr>
          <w:sz w:val="24"/>
          <w:szCs w:val="24"/>
        </w:rPr>
      </w:r>
      <w:r>
        <w:rPr>
          <w:sz w:val="24"/>
          <w:szCs w:val="24"/>
        </w:rPr>
      </w:r>
    </w:p>
    <w:p>
      <w:pPr>
        <w:pStyle w:val="934"/>
        <w:ind w:firstLine="709"/>
        <w:jc w:val="both"/>
        <w:spacing w:line="276" w:lineRule="auto"/>
        <w:widowControl w:val="off"/>
        <w:rPr>
          <w:bCs/>
          <w:sz w:val="24"/>
          <w:szCs w:val="24"/>
        </w:rPr>
      </w:pPr>
      <w:r>
        <w:rPr>
          <w:bCs/>
          <w:sz w:val="24"/>
          <w:szCs w:val="24"/>
        </w:rPr>
        <w:t xml:space="preserve">Так, благодаря победе в конкурсе на получение гранта Губернатора Ханты-Мансийского автономного округа – Югры автономной некоммерческой организацие</w:t>
      </w:r>
      <w:r>
        <w:rPr>
          <w:bCs/>
          <w:sz w:val="24"/>
          <w:szCs w:val="24"/>
        </w:rPr>
        <w:t xml:space="preserve">й по предоставлению социальных услуг «Благостыня» (руководитель – Тищенко Мария Владимировна), в 2024 году состоялось открытие социальной гостиницы. В социальной гостинице обустроены 5 уютных номеров, рассчитанные на одновременное размещение до 16 человек.</w:t>
      </w:r>
      <w:r>
        <w:rPr>
          <w:bCs/>
          <w:sz w:val="24"/>
          <w:szCs w:val="24"/>
        </w:rPr>
      </w:r>
      <w:r>
        <w:rPr>
          <w:bCs/>
          <w:sz w:val="24"/>
          <w:szCs w:val="24"/>
        </w:rPr>
      </w:r>
    </w:p>
    <w:p>
      <w:pPr>
        <w:pStyle w:val="934"/>
        <w:contextualSpacing/>
        <w:ind w:firstLine="709"/>
        <w:jc w:val="both"/>
        <w:spacing w:line="276" w:lineRule="auto"/>
        <w:tabs>
          <w:tab w:val="left" w:pos="993" w:leader="none"/>
        </w:tabs>
        <w:rPr>
          <w:sz w:val="24"/>
          <w:szCs w:val="24"/>
        </w:rPr>
      </w:pPr>
      <w:r>
        <w:rPr>
          <w:sz w:val="24"/>
          <w:szCs w:val="24"/>
        </w:rPr>
        <w:t xml:space="preserve">На территории Белоярского района успешно развивается туристская деятельность. В целях форми</w:t>
      </w:r>
      <w:r>
        <w:rPr>
          <w:sz w:val="24"/>
          <w:szCs w:val="24"/>
        </w:rPr>
        <w:t xml:space="preserve">рования уникального бренда Белоярского района автономная некоммерческая организация «Ресурсный центр креативных и этнографических кластеров» в 2024 году провела районный конкурс творческих работ «Городской мерч», посвящённый Белоярскому району. Творчество </w:t>
      </w:r>
      <w:r>
        <w:rPr>
          <w:sz w:val="24"/>
          <w:szCs w:val="24"/>
        </w:rPr>
        <w:t xml:space="preserve">помогло создать положительный имидж Белоярского района, привлекая внимание как местных жителей, так и туристов. В дальнейшем планируется организовать работу с местными предпринимателями для использования новых мерчей на продукции собственного производства.</w:t>
      </w:r>
      <w:r>
        <w:rPr>
          <w:sz w:val="24"/>
          <w:szCs w:val="24"/>
        </w:rPr>
      </w:r>
      <w:r>
        <w:rPr>
          <w:sz w:val="24"/>
          <w:szCs w:val="24"/>
        </w:rPr>
      </w:r>
    </w:p>
    <w:p>
      <w:pPr>
        <w:pStyle w:val="934"/>
        <w:contextualSpacing/>
        <w:ind w:firstLine="709"/>
        <w:jc w:val="both"/>
        <w:spacing w:line="276" w:lineRule="auto"/>
        <w:tabs>
          <w:tab w:val="left" w:pos="993" w:leader="none"/>
        </w:tabs>
        <w:rPr>
          <w:sz w:val="24"/>
          <w:szCs w:val="24"/>
        </w:rPr>
      </w:pPr>
      <w:r>
        <w:rPr>
          <w:sz w:val="24"/>
          <w:szCs w:val="24"/>
        </w:rPr>
        <w:t xml:space="preserve">Общий туристический поток в Белоярском районе в 2024 году составил 38 904 человека, что в 1,2 раза больше, чем за 2023 год (32 042 человека). </w:t>
      </w:r>
      <w:r>
        <w:rPr>
          <w:sz w:val="24"/>
          <w:szCs w:val="24"/>
        </w:rPr>
      </w:r>
      <w:r>
        <w:rPr>
          <w:sz w:val="24"/>
          <w:szCs w:val="24"/>
        </w:rPr>
      </w:r>
    </w:p>
    <w:p>
      <w:pPr>
        <w:pStyle w:val="934"/>
        <w:contextualSpacing/>
        <w:ind w:firstLine="567"/>
        <w:jc w:val="both"/>
        <w:spacing w:line="276" w:lineRule="auto"/>
        <w:tabs>
          <w:tab w:val="left" w:pos="993" w:leader="none"/>
        </w:tabs>
        <w:rPr>
          <w:color w:val="ff0000"/>
          <w:sz w:val="24"/>
          <w:szCs w:val="24"/>
        </w:rPr>
      </w:pPr>
      <w:r>
        <w:rPr>
          <w:color w:val="ff0000"/>
          <w:sz w:val="24"/>
          <w:szCs w:val="24"/>
        </w:rPr>
      </w:r>
      <w:r>
        <w:rPr>
          <w:color w:val="ff0000"/>
          <w:sz w:val="24"/>
          <w:szCs w:val="24"/>
        </w:rPr>
      </w:r>
      <w:r>
        <w:rPr>
          <w:color w:val="ff0000"/>
          <w:sz w:val="24"/>
          <w:szCs w:val="24"/>
        </w:rPr>
      </w:r>
    </w:p>
    <w:p>
      <w:pPr>
        <w:pStyle w:val="934"/>
        <w:numPr>
          <w:ilvl w:val="0"/>
          <w:numId w:val="4"/>
        </w:numPr>
        <w:jc w:val="center"/>
        <w:spacing w:line="276" w:lineRule="auto"/>
        <w:rPr>
          <w:b/>
          <w:sz w:val="24"/>
        </w:rPr>
        <w:outlineLvl w:val="0"/>
      </w:pPr>
      <w:r>
        <w:rPr>
          <w:b/>
          <w:sz w:val="24"/>
          <w:lang w:val="en-US"/>
        </w:rPr>
        <w:t xml:space="preserve">ИНВЕСТИЦИИ</w:t>
      </w:r>
      <w:r>
        <w:rPr>
          <w:b/>
          <w:sz w:val="24"/>
        </w:rPr>
      </w:r>
      <w:r>
        <w:rPr>
          <w:b/>
          <w:sz w:val="24"/>
        </w:rPr>
      </w:r>
    </w:p>
    <w:p>
      <w:pPr>
        <w:pStyle w:val="934"/>
        <w:ind w:left="720"/>
        <w:spacing w:line="276" w:lineRule="auto"/>
        <w:rPr>
          <w:b/>
          <w:color w:val="ff0000"/>
          <w:sz w:val="24"/>
        </w:rPr>
        <w:outlineLvl w:val="0"/>
      </w:pPr>
      <w:r>
        <w:rPr>
          <w:b/>
          <w:color w:val="ff0000"/>
          <w:sz w:val="24"/>
        </w:rPr>
      </w:r>
      <w:r>
        <w:rPr>
          <w:b/>
          <w:color w:val="ff0000"/>
          <w:sz w:val="24"/>
        </w:rPr>
      </w:r>
      <w:r>
        <w:rPr>
          <w:b/>
          <w:color w:val="ff0000"/>
          <w:sz w:val="24"/>
        </w:rPr>
      </w:r>
    </w:p>
    <w:p>
      <w:pPr>
        <w:pStyle w:val="934"/>
        <w:ind w:firstLine="709"/>
        <w:jc w:val="both"/>
        <w:spacing w:line="300" w:lineRule="auto"/>
        <w:tabs>
          <w:tab w:val="left" w:pos="540" w:leader="none"/>
        </w:tabs>
        <w:rPr>
          <w:sz w:val="24"/>
          <w:szCs w:val="24"/>
        </w:rPr>
      </w:pPr>
      <w:r>
        <w:rPr>
          <w:sz w:val="24"/>
          <w:szCs w:val="24"/>
        </w:rPr>
        <w:t xml:space="preserve">В 2024 году общий объем инвестиций в развитие Белоярского района предварительно составил 10,45 млрд. рублей. Объем инвестиций на каждого жителя Белоярского района составил 367,9 тыс. рублей.</w:t>
      </w:r>
      <w:r>
        <w:rPr>
          <w:sz w:val="24"/>
          <w:szCs w:val="24"/>
        </w:rPr>
      </w:r>
      <w:r>
        <w:rPr>
          <w:sz w:val="24"/>
          <w:szCs w:val="24"/>
        </w:rPr>
      </w:r>
    </w:p>
    <w:p>
      <w:pPr>
        <w:pStyle w:val="934"/>
        <w:ind w:firstLine="709"/>
        <w:jc w:val="both"/>
        <w:spacing w:line="276" w:lineRule="auto"/>
        <w:tabs>
          <w:tab w:val="left" w:pos="993" w:leader="none"/>
          <w:tab w:val="center" w:pos="4879" w:leader="none"/>
        </w:tabs>
        <w:rPr>
          <w:sz w:val="24"/>
          <w:szCs w:val="24"/>
        </w:rPr>
        <w:outlineLvl w:val="4"/>
      </w:pPr>
      <w:r>
        <w:rPr>
          <w:sz w:val="24"/>
          <w:szCs w:val="24"/>
        </w:rPr>
        <w:t xml:space="preserve">В 2024 году в рамках государственной программы Ханты-Мансийского автономного округа – Югры «Развитие жилищно-коммунального комплекса и </w:t>
      </w:r>
      <w:r>
        <w:rPr>
          <w:sz w:val="24"/>
          <w:szCs w:val="24"/>
        </w:rPr>
        <w:t xml:space="preserve">энергетики» завершено строительство канализационных очистных сооружений в с.Казым Белоярского района. Объект введен в эксплуатацию. Продолжается строительство объекта «Обеспечение водоснабжением г.Белоярский»,  сроком выполнения работ – сентябрь 2025 года.</w:t>
      </w:r>
      <w:r>
        <w:rPr>
          <w:sz w:val="24"/>
          <w:szCs w:val="24"/>
        </w:rPr>
      </w:r>
      <w:r>
        <w:rPr>
          <w:sz w:val="24"/>
          <w:szCs w:val="24"/>
        </w:rPr>
      </w:r>
    </w:p>
    <w:p>
      <w:pPr>
        <w:pStyle w:val="934"/>
        <w:ind w:firstLine="709"/>
        <w:jc w:val="both"/>
        <w:spacing w:line="276" w:lineRule="auto"/>
        <w:tabs>
          <w:tab w:val="left" w:pos="993" w:leader="none"/>
          <w:tab w:val="center" w:pos="4879" w:leader="none"/>
        </w:tabs>
        <w:rPr>
          <w:sz w:val="24"/>
          <w:szCs w:val="24"/>
        </w:rPr>
        <w:outlineLvl w:val="4"/>
      </w:pPr>
      <w:r>
        <w:rPr>
          <w:sz w:val="24"/>
          <w:szCs w:val="24"/>
        </w:rPr>
        <w:t xml:space="preserve">В рамках государственной программы Ханты-Мансийского автон</w:t>
      </w:r>
      <w:r>
        <w:rPr>
          <w:sz w:val="24"/>
          <w:szCs w:val="24"/>
        </w:rPr>
        <w:t xml:space="preserve">омного округа – Югры «Экологическая безопасность» в сентябре 2022 года заключено концессионное соглашение на строительство Белоярского межпоселенческого полигона с ООО «Вертикаль» (г. Москва). Срок завершения инвестиционной стадии проекта - март 2026 года.</w:t>
      </w:r>
      <w:r>
        <w:rPr>
          <w:sz w:val="24"/>
          <w:szCs w:val="24"/>
        </w:rPr>
      </w:r>
      <w:r>
        <w:rPr>
          <w:sz w:val="24"/>
          <w:szCs w:val="24"/>
        </w:rPr>
      </w:r>
    </w:p>
    <w:p>
      <w:pPr>
        <w:pStyle w:val="934"/>
        <w:ind w:firstLine="709"/>
        <w:jc w:val="both"/>
        <w:spacing w:line="276" w:lineRule="auto"/>
        <w:tabs>
          <w:tab w:val="left" w:pos="993" w:leader="none"/>
          <w:tab w:val="center" w:pos="4879" w:leader="none"/>
        </w:tabs>
        <w:rPr>
          <w:sz w:val="24"/>
          <w:szCs w:val="24"/>
        </w:rPr>
        <w:outlineLvl w:val="4"/>
      </w:pPr>
      <w:r>
        <w:rPr>
          <w:sz w:val="24"/>
          <w:szCs w:val="24"/>
        </w:rPr>
        <w:t xml:space="preserve">В рамках муниципальной программы «Ох</w:t>
      </w:r>
      <w:r>
        <w:rPr>
          <w:sz w:val="24"/>
          <w:szCs w:val="24"/>
        </w:rPr>
        <w:t xml:space="preserve">рана окружающей среды» выполнены работы по рекультивации территории свалки твердых бытовых отходов с.Ванзеват, заключен муниципальный контракт на выполнение работ по рекультивации территории свалки в с. Казым со сроком выполнения работ – декабрь 2025 года.</w:t>
      </w:r>
      <w:r>
        <w:rPr>
          <w:sz w:val="24"/>
          <w:szCs w:val="24"/>
        </w:rPr>
      </w:r>
      <w:r>
        <w:rPr>
          <w:sz w:val="24"/>
          <w:szCs w:val="24"/>
        </w:rPr>
      </w:r>
    </w:p>
    <w:p>
      <w:pPr>
        <w:pStyle w:val="934"/>
        <w:ind w:firstLine="709"/>
        <w:jc w:val="both"/>
        <w:spacing w:line="300" w:lineRule="auto"/>
        <w:rPr>
          <w:rFonts w:ascii="Calibri" w:hAnsi="Calibri" w:eastAsia="Calibri"/>
          <w:sz w:val="22"/>
          <w:szCs w:val="22"/>
          <w:lang w:eastAsia="en-US"/>
        </w:rPr>
      </w:pPr>
      <w:r>
        <w:rPr>
          <w:sz w:val="24"/>
          <w:szCs w:val="24"/>
        </w:rPr>
        <w:t xml:space="preserve">В 2024 году выполнен капитальный ремонт участка автомобильной дороги по ул. Центральной в г. Белоярский. В рамках капитального ремонта произведена укладка асфальтобетонного покрытия автомобильно</w:t>
      </w:r>
      <w:r>
        <w:rPr>
          <w:sz w:val="24"/>
          <w:szCs w:val="24"/>
        </w:rPr>
        <w:t xml:space="preserve">й дороги, замена тротуаров, установка ливневой канализации, усовершенствовано уличное освещение. Выполнена установка новых дорожных знаков, пешеходных ограждений, проведена замена дорожного бордюра, остановочных павильонов, устройство велосипедной дорожки.</w:t>
      </w:r>
      <w:r>
        <w:rPr>
          <w:rFonts w:ascii="Calibri" w:hAnsi="Calibri" w:eastAsia="Calibri"/>
          <w:sz w:val="22"/>
          <w:szCs w:val="22"/>
          <w:lang w:eastAsia="en-US"/>
        </w:rPr>
        <w:t xml:space="preserve"> </w:t>
      </w:r>
      <w:r>
        <w:rPr>
          <w:rFonts w:ascii="Calibri" w:hAnsi="Calibri" w:eastAsia="Calibri"/>
          <w:sz w:val="22"/>
          <w:szCs w:val="22"/>
          <w:lang w:eastAsia="en-US"/>
        </w:rPr>
      </w:r>
      <w:r>
        <w:rPr>
          <w:rFonts w:ascii="Calibri" w:hAnsi="Calibri" w:eastAsia="Calibri"/>
          <w:sz w:val="22"/>
          <w:szCs w:val="22"/>
          <w:lang w:eastAsia="en-US"/>
        </w:rPr>
      </w:r>
    </w:p>
    <w:p>
      <w:pPr>
        <w:pStyle w:val="934"/>
        <w:ind w:firstLine="709"/>
        <w:jc w:val="both"/>
        <w:spacing w:line="300" w:lineRule="auto"/>
        <w:rPr>
          <w:sz w:val="24"/>
          <w:szCs w:val="24"/>
        </w:rPr>
      </w:pPr>
      <w:r>
        <w:rPr>
          <w:rFonts w:eastAsia="Calibri"/>
          <w:sz w:val="24"/>
          <w:szCs w:val="24"/>
          <w:lang w:eastAsia="en-US"/>
        </w:rPr>
        <w:t xml:space="preserve">Кроме того в отчетном </w:t>
      </w:r>
      <w:r>
        <w:rPr>
          <w:sz w:val="24"/>
          <w:szCs w:val="24"/>
        </w:rPr>
        <w:t xml:space="preserve">году выполнены работы по на устройству стационарного электроосвещения автомобильных дорог г. Белоярский (а/д Подъездная, а/д Объездная, ул.Ратькова).</w:t>
      </w:r>
      <w:r>
        <w:rPr>
          <w:sz w:val="24"/>
          <w:szCs w:val="24"/>
        </w:rPr>
      </w:r>
      <w:r>
        <w:rPr>
          <w:sz w:val="24"/>
          <w:szCs w:val="24"/>
        </w:rPr>
      </w:r>
    </w:p>
    <w:p>
      <w:pPr>
        <w:pStyle w:val="934"/>
        <w:ind w:firstLine="709"/>
        <w:jc w:val="both"/>
        <w:spacing w:line="300" w:lineRule="auto"/>
        <w:rPr>
          <w:sz w:val="24"/>
          <w:szCs w:val="24"/>
        </w:rPr>
      </w:pPr>
      <w:r>
        <w:rPr>
          <w:sz w:val="24"/>
          <w:szCs w:val="24"/>
        </w:rPr>
        <w:t xml:space="preserve">В 2024 году завершен капитальный ремонт 3 этапа на участке  км 626-км 634 автомобильной дороги «г.Югорск-г.Советский-п.Верхнеказымский-г.Надым (граница ХМАО)», выполнен текущий ремонт участков  км 634- км 670, км 527- км 489 автомобильной дороги. </w:t>
      </w:r>
      <w:r>
        <w:rPr>
          <w:sz w:val="24"/>
          <w:szCs w:val="24"/>
        </w:rPr>
      </w:r>
      <w:r>
        <w:rPr>
          <w:sz w:val="24"/>
          <w:szCs w:val="24"/>
        </w:rPr>
      </w:r>
    </w:p>
    <w:p>
      <w:pPr>
        <w:pStyle w:val="934"/>
        <w:ind w:firstLine="709"/>
        <w:jc w:val="both"/>
        <w:spacing w:line="300" w:lineRule="auto"/>
        <w:rPr>
          <w:sz w:val="24"/>
          <w:szCs w:val="24"/>
        </w:rPr>
      </w:pPr>
      <w:r>
        <w:rPr>
          <w:sz w:val="24"/>
          <w:szCs w:val="24"/>
        </w:rPr>
        <w:t xml:space="preserve">В рамках капитального ремонта и модернизации систем коммунальной инфраструктуры в 2024 году заменены</w:t>
      </w:r>
      <w:r>
        <w:rPr>
          <w:sz w:val="24"/>
          <w:szCs w:val="24"/>
        </w:rPr>
        <w:t xml:space="preserve"> сети тепло-, водоснабжения ул.Сухарева, мкр.Мирный и мкр.Южный в г.Белоярский.  В рамках подготовки к осенне-зимнему периоду выполнен капитальный ремонт котельной в с.Полноват с заменой 2-х котлов и котельной в г.Белоярский с заменой 4-х теплообменников. </w:t>
      </w:r>
      <w:r>
        <w:rPr>
          <w:sz w:val="24"/>
          <w:szCs w:val="24"/>
        </w:rPr>
      </w:r>
      <w:r>
        <w:rPr>
          <w:sz w:val="24"/>
          <w:szCs w:val="24"/>
        </w:rPr>
      </w:r>
    </w:p>
    <w:p>
      <w:pPr>
        <w:pStyle w:val="934"/>
        <w:ind w:firstLine="709"/>
        <w:jc w:val="both"/>
        <w:spacing w:line="300" w:lineRule="auto"/>
        <w:rPr>
          <w:sz w:val="24"/>
          <w:szCs w:val="24"/>
        </w:rPr>
      </w:pPr>
      <w:r>
        <w:rPr>
          <w:sz w:val="24"/>
          <w:szCs w:val="24"/>
        </w:rPr>
        <w:t xml:space="preserve">За счет средств ООО «Газпром трансгаз Югорск» продолжается строительство бассейна в п. Верхнеказымский, ввод объекта запланирован в 2025 году. </w:t>
      </w:r>
      <w:r>
        <w:rPr>
          <w:sz w:val="24"/>
          <w:szCs w:val="24"/>
        </w:rPr>
      </w:r>
      <w:r>
        <w:rPr>
          <w:sz w:val="24"/>
          <w:szCs w:val="24"/>
        </w:rPr>
      </w:r>
    </w:p>
    <w:p>
      <w:pPr>
        <w:pStyle w:val="934"/>
        <w:ind w:firstLine="709"/>
        <w:jc w:val="both"/>
        <w:spacing w:line="300" w:lineRule="auto"/>
        <w:rPr>
          <w:sz w:val="24"/>
          <w:szCs w:val="24"/>
        </w:rPr>
      </w:pPr>
      <w:r>
        <w:rPr>
          <w:sz w:val="24"/>
          <w:szCs w:val="24"/>
        </w:rPr>
        <w:t xml:space="preserve">В 2024 году Белоярский район отнесен к сухопутным территориям Арктической зоны Российской Федерации. По и</w:t>
      </w:r>
      <w:r>
        <w:rPr>
          <w:sz w:val="24"/>
          <w:szCs w:val="24"/>
        </w:rPr>
        <w:t xml:space="preserve">тогам ежегодного Послания Губернатора Ханты-Мансийского автономного округа – Югры о положении дел и перспективах развития Ханты-Мансийского автономного округа – Югры дано поручение Департаменту экономического развития Югры разработать комплексную программу</w:t>
      </w:r>
      <w:r>
        <w:rPr>
          <w:sz w:val="24"/>
          <w:szCs w:val="24"/>
        </w:rPr>
        <w:t xml:space="preserve"> «Развитие Арктической зоны в Югре». Мероприятия данной программы предусматривают реализацию инвестиционных проектов, создание новых рабочих мест и привлечение трудовых ресурсов в Арктическую зону Югры, а также создание объектов социальной инфраструктуры. </w:t>
      </w:r>
      <w:r>
        <w:rPr>
          <w:sz w:val="24"/>
          <w:szCs w:val="24"/>
        </w:rPr>
      </w:r>
      <w:r>
        <w:rPr>
          <w:sz w:val="24"/>
          <w:szCs w:val="24"/>
        </w:rPr>
      </w:r>
    </w:p>
    <w:p>
      <w:pPr>
        <w:pStyle w:val="934"/>
        <w:ind w:firstLine="709"/>
        <w:jc w:val="both"/>
        <w:spacing w:line="300" w:lineRule="auto"/>
        <w:rPr>
          <w:sz w:val="24"/>
          <w:szCs w:val="24"/>
        </w:rPr>
      </w:pPr>
      <w:r>
        <w:rPr>
          <w:sz w:val="24"/>
          <w:szCs w:val="24"/>
        </w:rPr>
        <w:t xml:space="preserve">Благодаря поддержке Губернатора и Правительства Югры в ближайшей перспективе запланирована реализация ряда социально – значимых проектов.</w:t>
      </w:r>
      <w:r>
        <w:rPr>
          <w:sz w:val="24"/>
          <w:szCs w:val="24"/>
        </w:rPr>
      </w:r>
      <w:r>
        <w:rPr>
          <w:sz w:val="24"/>
          <w:szCs w:val="24"/>
        </w:rPr>
      </w:r>
    </w:p>
    <w:p>
      <w:pPr>
        <w:pStyle w:val="934"/>
        <w:ind w:firstLine="709"/>
        <w:jc w:val="both"/>
        <w:spacing w:line="300" w:lineRule="auto"/>
        <w:rPr>
          <w:rFonts w:eastAsia="Calibri"/>
          <w:sz w:val="24"/>
          <w:szCs w:val="24"/>
          <w:lang w:eastAsia="en-US"/>
        </w:rPr>
      </w:pPr>
      <w:r>
        <w:rPr>
          <w:rFonts w:eastAsia="Calibri"/>
          <w:sz w:val="24"/>
          <w:szCs w:val="24"/>
          <w:lang w:eastAsia="en-US"/>
        </w:rPr>
        <w:t xml:space="preserve">В целях обеспечения сел</w:t>
      </w:r>
      <w:r>
        <w:rPr>
          <w:rFonts w:eastAsia="Calibri"/>
          <w:sz w:val="24"/>
          <w:szCs w:val="24"/>
          <w:lang w:eastAsia="en-US"/>
        </w:rPr>
        <w:t xml:space="preserve">ьских поселений Белоярского района централизованным водоотведением в рамках реализации мероприятий Плана социального развития центров экономического роста Ханты-Мансийский автономный округ – Югры в текущем году планируется приступить к строительству канали</w:t>
      </w:r>
      <w:r>
        <w:rPr>
          <w:rFonts w:eastAsia="Calibri"/>
          <w:sz w:val="24"/>
          <w:szCs w:val="24"/>
          <w:lang w:eastAsia="en-US"/>
        </w:rPr>
        <w:t xml:space="preserve">зационных очистных сооружений в селе Полноват. В настоящее время разработана проектная документация, срок получения положительных заключений государственной экспертизы и экспертизы о проверке достоверности определения сметной стоимости – февраль 2025 года.</w:t>
      </w:r>
      <w:r>
        <w:rPr>
          <w:rFonts w:eastAsia="Calibri"/>
          <w:sz w:val="24"/>
          <w:szCs w:val="24"/>
          <w:lang w:eastAsia="en-US"/>
        </w:rPr>
      </w:r>
      <w:r>
        <w:rPr>
          <w:rFonts w:eastAsia="Calibri"/>
          <w:sz w:val="24"/>
          <w:szCs w:val="24"/>
          <w:lang w:eastAsia="en-US"/>
        </w:rPr>
      </w:r>
    </w:p>
    <w:p>
      <w:pPr>
        <w:pStyle w:val="934"/>
        <w:contextualSpacing/>
        <w:ind w:firstLine="709"/>
        <w:jc w:val="both"/>
        <w:spacing w:line="300" w:lineRule="auto"/>
        <w:tabs>
          <w:tab w:val="left" w:pos="993" w:leader="none"/>
        </w:tabs>
        <w:rPr>
          <w:rFonts w:eastAsia="Calibri"/>
          <w:sz w:val="24"/>
          <w:szCs w:val="24"/>
          <w:lang w:eastAsia="en-US"/>
        </w:rPr>
      </w:pPr>
      <w:r>
        <w:rPr>
          <w:rFonts w:eastAsia="Calibri"/>
          <w:sz w:val="24"/>
          <w:szCs w:val="24"/>
        </w:rPr>
        <w:t xml:space="preserve">В Карту Развития Югры по Белоярскому району внесены 48 проектов, </w:t>
      </w:r>
      <w:r>
        <w:rPr>
          <w:rFonts w:eastAsia="Calibri"/>
          <w:sz w:val="24"/>
          <w:szCs w:val="24"/>
          <w:lang w:eastAsia="en-US"/>
        </w:rPr>
        <w:t xml:space="preserve">реализованы 27 проектов, в т.ч. 6 проектов – в 2024 году:</w:t>
      </w:r>
      <w:r>
        <w:rPr>
          <w:rFonts w:eastAsia="Calibri"/>
          <w:sz w:val="24"/>
          <w:szCs w:val="24"/>
          <w:lang w:eastAsia="en-US"/>
        </w:rPr>
      </w:r>
      <w:r>
        <w:rPr>
          <w:rFonts w:eastAsia="Calibri"/>
          <w:sz w:val="24"/>
          <w:szCs w:val="24"/>
          <w:lang w:eastAsia="en-US"/>
        </w:rPr>
      </w:r>
    </w:p>
    <w:p>
      <w:pPr>
        <w:pStyle w:val="934"/>
        <w:numPr>
          <w:ilvl w:val="0"/>
          <w:numId w:val="41"/>
        </w:numPr>
        <w:contextualSpacing/>
        <w:ind w:left="0" w:firstLine="709"/>
        <w:jc w:val="both"/>
        <w:spacing w:after="200" w:line="300" w:lineRule="auto"/>
        <w:tabs>
          <w:tab w:val="left" w:pos="993" w:leader="none"/>
          <w:tab w:val="left" w:pos="1134" w:leader="none"/>
        </w:tabs>
        <w:rPr>
          <w:rFonts w:eastAsia="Calibri"/>
          <w:sz w:val="24"/>
          <w:szCs w:val="24"/>
          <w:lang w:eastAsia="en-US"/>
        </w:rPr>
      </w:pPr>
      <w:r>
        <w:rPr>
          <w:rFonts w:eastAsia="Calibri"/>
          <w:sz w:val="24"/>
          <w:szCs w:val="24"/>
          <w:lang w:eastAsia="en-US"/>
        </w:rPr>
        <w:t xml:space="preserve">капитальный ремонт автомобильной дороги «Югорск-Советский-Верхний Казым-Надым (до границы ХМАО-Югры)», 3 этап; </w:t>
      </w:r>
      <w:r>
        <w:rPr>
          <w:rFonts w:eastAsia="Calibri"/>
          <w:sz w:val="24"/>
          <w:szCs w:val="24"/>
          <w:lang w:eastAsia="en-US"/>
        </w:rPr>
      </w:r>
      <w:r>
        <w:rPr>
          <w:rFonts w:eastAsia="Calibri"/>
          <w:sz w:val="24"/>
          <w:szCs w:val="24"/>
          <w:lang w:eastAsia="en-US"/>
        </w:rPr>
      </w:r>
    </w:p>
    <w:p>
      <w:pPr>
        <w:pStyle w:val="934"/>
        <w:numPr>
          <w:ilvl w:val="0"/>
          <w:numId w:val="41"/>
        </w:numPr>
        <w:contextualSpacing/>
        <w:ind w:left="0" w:firstLine="709"/>
        <w:jc w:val="both"/>
        <w:spacing w:after="200" w:line="300" w:lineRule="auto"/>
        <w:tabs>
          <w:tab w:val="left" w:pos="993" w:leader="none"/>
          <w:tab w:val="left" w:pos="1134" w:leader="none"/>
        </w:tabs>
        <w:rPr>
          <w:rFonts w:eastAsia="Calibri"/>
          <w:sz w:val="24"/>
          <w:szCs w:val="24"/>
          <w:lang w:eastAsia="en-US"/>
        </w:rPr>
      </w:pPr>
      <w:r>
        <w:rPr>
          <w:rFonts w:eastAsia="Calibri"/>
          <w:sz w:val="24"/>
          <w:szCs w:val="24"/>
          <w:lang w:eastAsia="en-US"/>
        </w:rPr>
        <w:t xml:space="preserve">Автомобильная дорога по улице Центральной, г. Белоярский;</w:t>
      </w:r>
      <w:r>
        <w:rPr>
          <w:rFonts w:eastAsia="Calibri"/>
          <w:sz w:val="24"/>
          <w:szCs w:val="24"/>
          <w:lang w:eastAsia="en-US"/>
        </w:rPr>
      </w:r>
      <w:r>
        <w:rPr>
          <w:rFonts w:eastAsia="Calibri"/>
          <w:sz w:val="24"/>
          <w:szCs w:val="24"/>
          <w:lang w:eastAsia="en-US"/>
        </w:rPr>
      </w:r>
    </w:p>
    <w:p>
      <w:pPr>
        <w:pStyle w:val="934"/>
        <w:numPr>
          <w:ilvl w:val="0"/>
          <w:numId w:val="41"/>
        </w:numPr>
        <w:contextualSpacing/>
        <w:ind w:left="0" w:firstLine="709"/>
        <w:jc w:val="both"/>
        <w:spacing w:after="200" w:line="300" w:lineRule="auto"/>
        <w:tabs>
          <w:tab w:val="left" w:pos="993" w:leader="none"/>
          <w:tab w:val="left" w:pos="1134" w:leader="none"/>
        </w:tabs>
        <w:rPr>
          <w:rFonts w:eastAsia="Calibri"/>
          <w:sz w:val="24"/>
          <w:szCs w:val="24"/>
          <w:lang w:eastAsia="en-US"/>
        </w:rPr>
      </w:pPr>
      <w:r>
        <w:rPr>
          <w:rFonts w:eastAsia="Calibri"/>
          <w:sz w:val="24"/>
          <w:szCs w:val="24"/>
          <w:lang w:eastAsia="en-US"/>
        </w:rPr>
        <w:t xml:space="preserve">Центральная районная библиотека, г. Белоярский;</w:t>
      </w:r>
      <w:r>
        <w:rPr>
          <w:rFonts w:eastAsia="Calibri"/>
          <w:sz w:val="24"/>
          <w:szCs w:val="24"/>
          <w:lang w:eastAsia="en-US"/>
        </w:rPr>
      </w:r>
      <w:r>
        <w:rPr>
          <w:rFonts w:eastAsia="Calibri"/>
          <w:sz w:val="24"/>
          <w:szCs w:val="24"/>
          <w:lang w:eastAsia="en-US"/>
        </w:rPr>
      </w:r>
    </w:p>
    <w:p>
      <w:pPr>
        <w:pStyle w:val="934"/>
        <w:numPr>
          <w:ilvl w:val="0"/>
          <w:numId w:val="41"/>
        </w:numPr>
        <w:contextualSpacing/>
        <w:ind w:left="0" w:firstLine="709"/>
        <w:jc w:val="both"/>
        <w:spacing w:after="200" w:line="300" w:lineRule="auto"/>
        <w:tabs>
          <w:tab w:val="left" w:pos="993" w:leader="none"/>
          <w:tab w:val="left" w:pos="1134" w:leader="none"/>
        </w:tabs>
        <w:rPr>
          <w:rFonts w:eastAsia="Calibri"/>
          <w:sz w:val="24"/>
          <w:szCs w:val="24"/>
          <w:lang w:eastAsia="en-US"/>
        </w:rPr>
      </w:pPr>
      <w:r>
        <w:rPr>
          <w:rFonts w:eastAsia="Calibri"/>
          <w:sz w:val="24"/>
          <w:szCs w:val="24"/>
          <w:lang w:eastAsia="en-US"/>
        </w:rPr>
        <w:t xml:space="preserve">Канализационные очистные сооружения, с. Казым Белоярского района;</w:t>
      </w:r>
      <w:r>
        <w:rPr>
          <w:rFonts w:eastAsia="Calibri"/>
          <w:sz w:val="24"/>
          <w:szCs w:val="24"/>
          <w:lang w:eastAsia="en-US"/>
        </w:rPr>
      </w:r>
      <w:r>
        <w:rPr>
          <w:rFonts w:eastAsia="Calibri"/>
          <w:sz w:val="24"/>
          <w:szCs w:val="24"/>
          <w:lang w:eastAsia="en-US"/>
        </w:rPr>
      </w:r>
    </w:p>
    <w:p>
      <w:pPr>
        <w:pStyle w:val="934"/>
        <w:numPr>
          <w:ilvl w:val="0"/>
          <w:numId w:val="41"/>
        </w:numPr>
        <w:contextualSpacing/>
        <w:ind w:left="0" w:firstLine="709"/>
        <w:jc w:val="both"/>
        <w:spacing w:after="200" w:line="300" w:lineRule="auto"/>
        <w:tabs>
          <w:tab w:val="left" w:pos="993" w:leader="none"/>
          <w:tab w:val="left" w:pos="1134" w:leader="none"/>
        </w:tabs>
        <w:rPr>
          <w:rFonts w:eastAsia="Calibri"/>
          <w:sz w:val="24"/>
          <w:szCs w:val="24"/>
          <w:lang w:eastAsia="en-US"/>
        </w:rPr>
      </w:pPr>
      <w:r>
        <w:rPr>
          <w:rFonts w:eastAsia="Calibri"/>
          <w:sz w:val="24"/>
          <w:szCs w:val="24"/>
          <w:lang w:eastAsia="en-US"/>
        </w:rPr>
        <w:t xml:space="preserve">Центр образования естественно-научной и технологической направленностей «Точка роста», СОШ № 1 г.Белоярский;</w:t>
      </w:r>
      <w:r>
        <w:rPr>
          <w:rFonts w:eastAsia="Calibri"/>
          <w:sz w:val="24"/>
          <w:szCs w:val="24"/>
          <w:lang w:eastAsia="en-US"/>
        </w:rPr>
      </w:r>
      <w:r>
        <w:rPr>
          <w:rFonts w:eastAsia="Calibri"/>
          <w:sz w:val="24"/>
          <w:szCs w:val="24"/>
          <w:lang w:eastAsia="en-US"/>
        </w:rPr>
      </w:r>
    </w:p>
    <w:p>
      <w:pPr>
        <w:pStyle w:val="934"/>
        <w:numPr>
          <w:ilvl w:val="0"/>
          <w:numId w:val="41"/>
        </w:numPr>
        <w:contextualSpacing/>
        <w:ind w:left="0" w:firstLine="709"/>
        <w:jc w:val="both"/>
        <w:spacing w:after="200" w:line="300" w:lineRule="auto"/>
        <w:tabs>
          <w:tab w:val="left" w:pos="993" w:leader="none"/>
          <w:tab w:val="left" w:pos="1134" w:leader="none"/>
        </w:tabs>
        <w:rPr>
          <w:rFonts w:eastAsia="Calibri"/>
          <w:sz w:val="24"/>
          <w:szCs w:val="24"/>
          <w:lang w:eastAsia="en-US"/>
        </w:rPr>
      </w:pPr>
      <w:r>
        <w:rPr>
          <w:rFonts w:eastAsia="Calibri"/>
          <w:sz w:val="24"/>
          <w:szCs w:val="24"/>
          <w:lang w:eastAsia="en-US"/>
        </w:rPr>
        <w:t xml:space="preserve">Сквер «Геологов» г.Белоярский.</w:t>
      </w:r>
      <w:r>
        <w:rPr>
          <w:rFonts w:eastAsia="Calibri"/>
          <w:sz w:val="24"/>
          <w:szCs w:val="24"/>
          <w:lang w:eastAsia="en-US"/>
        </w:rPr>
      </w:r>
      <w:r>
        <w:rPr>
          <w:rFonts w:eastAsia="Calibri"/>
          <w:sz w:val="24"/>
          <w:szCs w:val="24"/>
          <w:lang w:eastAsia="en-US"/>
        </w:rPr>
      </w:r>
    </w:p>
    <w:p>
      <w:pPr>
        <w:pStyle w:val="934"/>
        <w:ind w:firstLine="709"/>
        <w:jc w:val="both"/>
        <w:spacing w:line="276" w:lineRule="auto"/>
        <w:rPr>
          <w:color w:val="ff0000"/>
          <w:sz w:val="24"/>
          <w:szCs w:val="24"/>
        </w:rPr>
      </w:pPr>
      <w:r>
        <w:rPr>
          <w:color w:val="ff0000"/>
          <w:sz w:val="24"/>
          <w:szCs w:val="24"/>
        </w:rPr>
      </w:r>
      <w:r>
        <w:rPr>
          <w:color w:val="ff0000"/>
          <w:sz w:val="24"/>
          <w:szCs w:val="24"/>
        </w:rPr>
      </w:r>
      <w:r>
        <w:rPr>
          <w:color w:val="ff0000"/>
          <w:sz w:val="24"/>
          <w:szCs w:val="24"/>
        </w:rPr>
      </w:r>
    </w:p>
    <w:p>
      <w:pPr>
        <w:pStyle w:val="934"/>
        <w:numPr>
          <w:ilvl w:val="0"/>
          <w:numId w:val="4"/>
        </w:numPr>
        <w:ind w:hanging="87"/>
        <w:jc w:val="center"/>
        <w:tabs>
          <w:tab w:val="center" w:pos="1418" w:leader="none"/>
        </w:tabs>
        <w:rPr>
          <w:b/>
          <w:bCs/>
          <w:iCs/>
          <w:sz w:val="24"/>
          <w:szCs w:val="24"/>
        </w:rPr>
        <w:outlineLvl w:val="4"/>
      </w:pPr>
      <w:r>
        <w:rPr>
          <w:b/>
          <w:bCs/>
          <w:iCs/>
          <w:sz w:val="24"/>
          <w:szCs w:val="24"/>
        </w:rPr>
        <w:t xml:space="preserve">РЕАЛИЗАЦИЯ  ЖИЛИЩНОЙ  ПОЛИТИКИ </w:t>
      </w:r>
      <w:r>
        <w:rPr>
          <w:b/>
          <w:bCs/>
          <w:iCs/>
          <w:sz w:val="24"/>
          <w:szCs w:val="24"/>
        </w:rPr>
      </w:r>
      <w:r>
        <w:rPr>
          <w:b/>
          <w:bCs/>
          <w:iCs/>
          <w:sz w:val="24"/>
          <w:szCs w:val="24"/>
        </w:rPr>
      </w:r>
    </w:p>
    <w:p>
      <w:pPr>
        <w:pStyle w:val="934"/>
        <w:ind w:left="576" w:hanging="87"/>
        <w:jc w:val="center"/>
        <w:tabs>
          <w:tab w:val="center" w:pos="1418" w:leader="none"/>
        </w:tabs>
        <w:rPr>
          <w:b/>
          <w:bCs/>
          <w:iCs/>
          <w:sz w:val="24"/>
          <w:szCs w:val="24"/>
        </w:rPr>
        <w:outlineLvl w:val="4"/>
      </w:pPr>
      <w:r>
        <w:rPr>
          <w:b/>
          <w:bCs/>
          <w:iCs/>
          <w:sz w:val="24"/>
          <w:szCs w:val="24"/>
        </w:rPr>
      </w:r>
      <w:r>
        <w:rPr>
          <w:b/>
          <w:bCs/>
          <w:iCs/>
          <w:sz w:val="24"/>
          <w:szCs w:val="24"/>
        </w:rPr>
      </w:r>
      <w:r>
        <w:rPr>
          <w:b/>
          <w:bCs/>
          <w:iCs/>
          <w:sz w:val="24"/>
          <w:szCs w:val="24"/>
        </w:rPr>
      </w:r>
    </w:p>
    <w:p>
      <w:pPr>
        <w:pStyle w:val="934"/>
        <w:ind w:firstLine="708"/>
        <w:jc w:val="both"/>
        <w:spacing w:line="300" w:lineRule="auto"/>
        <w:rPr>
          <w:sz w:val="24"/>
          <w:szCs w:val="24"/>
        </w:rPr>
      </w:pPr>
      <w:r>
        <w:rPr>
          <w:bCs/>
          <w:sz w:val="24"/>
          <w:szCs w:val="24"/>
        </w:rPr>
        <w:t xml:space="preserve">В 2024 году объем ввода жилья на территории Белоярского района составил  6595 кв.м жилья. Из них </w:t>
      </w:r>
      <w:r>
        <w:rPr>
          <w:bCs/>
          <w:sz w:val="24"/>
          <w:szCs w:val="24"/>
        </w:rPr>
        <w:t xml:space="preserve">23</w:t>
      </w:r>
      <w:r>
        <w:rPr>
          <w:bCs/>
          <w:sz w:val="24"/>
          <w:szCs w:val="24"/>
        </w:rPr>
        <w:t xml:space="preserve"> индивидуальных жилых дом</w:t>
      </w:r>
      <w:r>
        <w:rPr>
          <w:bCs/>
          <w:sz w:val="24"/>
          <w:szCs w:val="24"/>
        </w:rPr>
        <w:t xml:space="preserve">а</w:t>
      </w:r>
      <w:r>
        <w:rPr>
          <w:bCs/>
          <w:sz w:val="24"/>
          <w:szCs w:val="24"/>
        </w:rPr>
        <w:t xml:space="preserve"> общей площадью 2325 кв.м, </w:t>
      </w:r>
      <w:r>
        <w:rPr>
          <w:sz w:val="24"/>
          <w:szCs w:val="24"/>
        </w:rPr>
        <w:t xml:space="preserve">2 многоквартирных жилых дома на 70 квартир в г. Белоярский, многоквартирный жилой дом на 12 квартир в с. Казым, дом </w:t>
      </w:r>
      <w:r>
        <w:rPr>
          <w:bCs/>
          <w:sz w:val="24"/>
          <w:szCs w:val="24"/>
        </w:rPr>
        <w:t xml:space="preserve">блокированной застройки в п. Верхнеказымский. </w:t>
      </w:r>
      <w:r>
        <w:rPr>
          <w:sz w:val="24"/>
          <w:szCs w:val="24"/>
        </w:rPr>
      </w:r>
      <w:r>
        <w:rPr>
          <w:sz w:val="24"/>
          <w:szCs w:val="24"/>
        </w:rPr>
      </w:r>
    </w:p>
    <w:p>
      <w:pPr>
        <w:pStyle w:val="934"/>
        <w:ind w:firstLine="709"/>
        <w:jc w:val="both"/>
        <w:spacing w:line="300" w:lineRule="auto"/>
        <w:rPr>
          <w:sz w:val="24"/>
          <w:szCs w:val="24"/>
        </w:rPr>
      </w:pPr>
      <w:r>
        <w:rPr>
          <w:sz w:val="24"/>
          <w:szCs w:val="24"/>
        </w:rPr>
        <w:t xml:space="preserve">На территории Белоярского района за 2024 года снесены 14 многоквартирных дома общей площадью 11,3 тыс. кв.м.  По предварительным данным</w:t>
      </w:r>
      <w:r>
        <w:rPr>
          <w:b/>
          <w:sz w:val="24"/>
          <w:szCs w:val="24"/>
        </w:rPr>
        <w:t xml:space="preserve"> </w:t>
      </w:r>
      <w:r>
        <w:rPr>
          <w:sz w:val="24"/>
          <w:szCs w:val="24"/>
        </w:rPr>
        <w:t xml:space="preserve">на 1 января 2025 года площадь жилищного фонда составила 668,39 тыс. кв. м., на одного жителя приходится 23,5 кв. м жилья. </w:t>
      </w:r>
      <w:r>
        <w:rPr>
          <w:sz w:val="24"/>
          <w:szCs w:val="24"/>
        </w:rPr>
      </w:r>
      <w:r>
        <w:rPr>
          <w:sz w:val="24"/>
          <w:szCs w:val="24"/>
        </w:rPr>
      </w:r>
    </w:p>
    <w:p>
      <w:pPr>
        <w:pStyle w:val="934"/>
        <w:ind w:firstLine="709"/>
        <w:jc w:val="both"/>
        <w:spacing w:line="300" w:lineRule="auto"/>
        <w:rPr>
          <w:color w:val="ff0000"/>
          <w:sz w:val="24"/>
          <w:szCs w:val="24"/>
        </w:rPr>
      </w:pPr>
      <w:r>
        <w:rPr>
          <w:sz w:val="24"/>
          <w:szCs w:val="24"/>
        </w:rPr>
        <w:t xml:space="preserve">В 2025 году запланировано строительство  много</w:t>
      </w:r>
      <w:r>
        <w:rPr>
          <w:sz w:val="24"/>
          <w:szCs w:val="24"/>
        </w:rPr>
        <w:t xml:space="preserve">квартирного жилого дома в 1 мкр. г. Белоярский на 20 квартир и дома блокированной застройки в п. Сосновка. Всего планируемый ввод жилья на 2025 год составляет 2,5 тыс. кв.м. В 2025 году будут снесены 14 многоквартирных домов общей площадью 9,9 тыс. кв.м.  </w:t>
      </w:r>
      <w:r>
        <w:rPr>
          <w:color w:val="ff0000"/>
          <w:sz w:val="24"/>
          <w:szCs w:val="24"/>
        </w:rPr>
      </w:r>
      <w:r>
        <w:rPr>
          <w:color w:val="ff0000"/>
          <w:sz w:val="24"/>
          <w:szCs w:val="24"/>
        </w:rPr>
      </w:r>
    </w:p>
    <w:p>
      <w:pPr>
        <w:pStyle w:val="934"/>
        <w:ind w:firstLine="709"/>
        <w:jc w:val="both"/>
        <w:spacing w:line="300" w:lineRule="auto"/>
        <w:rPr>
          <w:sz w:val="24"/>
          <w:szCs w:val="24"/>
        </w:rPr>
      </w:pPr>
      <w:r>
        <w:rPr>
          <w:sz w:val="24"/>
          <w:szCs w:val="24"/>
        </w:rPr>
        <w:t xml:space="preserve">В рамках реализации муниципальной программы Белоярского района «Развитие жилищно-коммунального комплекса и повышение эн</w:t>
      </w:r>
      <w:r>
        <w:rPr>
          <w:sz w:val="24"/>
          <w:szCs w:val="24"/>
        </w:rPr>
        <w:t xml:space="preserve">ергетической эффективности» в 2024 году проведен  капитальный ремонт 6 многоквартирных  домов общей площадью 20,4 тыс. кв.м на сумму 61,9 млн. руб. В 2025 году запланировано провести капитальный ремонт 5 многоквартирных домов общей площадью 24,8 тыс. кв.м.</w:t>
      </w:r>
      <w:r>
        <w:rPr>
          <w:sz w:val="24"/>
          <w:szCs w:val="24"/>
        </w:rPr>
      </w:r>
      <w:r>
        <w:rPr>
          <w:sz w:val="24"/>
          <w:szCs w:val="24"/>
        </w:rPr>
      </w:r>
    </w:p>
    <w:p>
      <w:pPr>
        <w:pStyle w:val="934"/>
        <w:ind w:firstLine="709"/>
        <w:jc w:val="both"/>
        <w:spacing w:line="300" w:lineRule="auto"/>
        <w:rPr>
          <w:sz w:val="24"/>
          <w:szCs w:val="24"/>
        </w:rPr>
      </w:pPr>
      <w:r>
        <w:rPr>
          <w:sz w:val="24"/>
          <w:szCs w:val="24"/>
        </w:rPr>
        <w:t xml:space="preserve">Всего за 2024 год в Белоярском районе </w:t>
      </w:r>
      <w:r>
        <w:rPr>
          <w:sz w:val="24"/>
          <w:szCs w:val="24"/>
        </w:rPr>
        <w:t xml:space="preserve">181 семья</w:t>
      </w:r>
      <w:r>
        <w:rPr>
          <w:sz w:val="24"/>
          <w:szCs w:val="24"/>
        </w:rPr>
        <w:t xml:space="preserve"> улучшил</w:t>
      </w:r>
      <w:r>
        <w:rPr>
          <w:sz w:val="24"/>
          <w:szCs w:val="24"/>
        </w:rPr>
        <w:t xml:space="preserve">а</w:t>
      </w:r>
      <w:r>
        <w:rPr>
          <w:sz w:val="24"/>
          <w:szCs w:val="24"/>
        </w:rPr>
        <w:t xml:space="preserve"> жилищные условия. Льготным категориям граждан на безвозмездной основе выделены 12 земельных участков, в т.ч. 3 участка – участникам СВО, 3 участка - ветеранам боевых действий, 1 участок инвалиду и 5 участков - многодетным. </w:t>
      </w:r>
      <w:r>
        <w:rPr>
          <w:sz w:val="24"/>
          <w:szCs w:val="24"/>
        </w:rPr>
      </w:r>
      <w:r>
        <w:rPr>
          <w:sz w:val="24"/>
          <w:szCs w:val="24"/>
        </w:rPr>
      </w:r>
    </w:p>
    <w:p>
      <w:pPr>
        <w:pStyle w:val="934"/>
        <w:ind w:firstLine="709"/>
        <w:jc w:val="both"/>
        <w:spacing w:line="300" w:lineRule="auto"/>
        <w:rPr>
          <w:rFonts w:eastAsia="Calibri"/>
          <w:sz w:val="24"/>
          <w:szCs w:val="24"/>
          <w:lang w:eastAsia="en-US"/>
        </w:rPr>
      </w:pPr>
      <w:r>
        <w:rPr>
          <w:rFonts w:eastAsia="Calibri"/>
          <w:sz w:val="24"/>
          <w:szCs w:val="24"/>
          <w:lang w:eastAsia="en-US"/>
        </w:rPr>
        <w:t xml:space="preserve">В 2024 году в рамках федерального проекта «Формирование комфортной городской среды» национального проекта «Жилье и городская среда» завершен 2 этап благоустройства общественной территории «Сквер «Геологов»</w:t>
      </w:r>
      <w:r>
        <w:rPr>
          <w:rFonts w:ascii="Calibri" w:hAnsi="Calibri" w:eastAsia="Calibri"/>
          <w:sz w:val="22"/>
          <w:szCs w:val="22"/>
          <w:lang w:eastAsia="en-US"/>
        </w:rPr>
        <w:t xml:space="preserve"> </w:t>
      </w:r>
      <w:r>
        <w:rPr>
          <w:rFonts w:eastAsia="Calibri"/>
          <w:sz w:val="24"/>
          <w:szCs w:val="24"/>
          <w:lang w:eastAsia="en-US"/>
        </w:rPr>
        <w:t xml:space="preserve">- один из проектов Карты Развития Югры. Инициативу создания данной территории и ее реализацию активно поддержали жители Белоярского района.</w:t>
      </w:r>
      <w:r>
        <w:rPr>
          <w:rFonts w:eastAsia="Calibri"/>
          <w:sz w:val="24"/>
          <w:szCs w:val="24"/>
          <w:lang w:eastAsia="en-US"/>
        </w:rPr>
      </w:r>
      <w:r>
        <w:rPr>
          <w:rFonts w:eastAsia="Calibri"/>
          <w:sz w:val="24"/>
          <w:szCs w:val="24"/>
          <w:lang w:eastAsia="en-US"/>
        </w:rPr>
      </w:r>
    </w:p>
    <w:p>
      <w:pPr>
        <w:pStyle w:val="934"/>
        <w:ind w:firstLine="709"/>
        <w:jc w:val="both"/>
        <w:spacing w:line="300" w:lineRule="auto"/>
        <w:tabs>
          <w:tab w:val="left" w:pos="709" w:leader="none"/>
          <w:tab w:val="left" w:pos="993" w:leader="none"/>
        </w:tabs>
        <w:rPr>
          <w:rFonts w:eastAsia="Calibri"/>
          <w:sz w:val="24"/>
          <w:szCs w:val="24"/>
          <w:lang w:eastAsia="en-US"/>
        </w:rPr>
      </w:pPr>
      <w:r>
        <w:rPr>
          <w:rFonts w:eastAsia="Calibri"/>
          <w:sz w:val="24"/>
          <w:szCs w:val="24"/>
          <w:lang w:eastAsia="en-US"/>
        </w:rPr>
        <w:t xml:space="preserve">В целях создания комфортных условий для проживания в 202</w:t>
      </w:r>
      <w:r>
        <w:rPr>
          <w:rFonts w:eastAsia="Calibri"/>
          <w:sz w:val="24"/>
          <w:szCs w:val="24"/>
          <w:lang w:eastAsia="en-US"/>
        </w:rPr>
        <w:t xml:space="preserve">5 году Белоярский в очередной раз примет участие во Всероссийском конкурсе лучших проектов создания комфортной городской среды в малых городах и исторических поселениях с проектом по благоустройству набережной в районе речного вокзала в городе Белоярский. </w:t>
      </w:r>
      <w:r>
        <w:rPr>
          <w:rFonts w:eastAsia="Calibri"/>
          <w:sz w:val="24"/>
          <w:szCs w:val="24"/>
          <w:lang w:eastAsia="en-US"/>
        </w:rPr>
      </w:r>
      <w:r>
        <w:rPr>
          <w:rFonts w:eastAsia="Calibri"/>
          <w:sz w:val="24"/>
          <w:szCs w:val="24"/>
          <w:lang w:eastAsia="en-US"/>
        </w:rPr>
      </w:r>
    </w:p>
    <w:p>
      <w:pPr>
        <w:pStyle w:val="934"/>
        <w:ind w:firstLine="709"/>
        <w:jc w:val="both"/>
        <w:spacing w:line="300" w:lineRule="auto"/>
        <w:tabs>
          <w:tab w:val="left" w:pos="709" w:leader="none"/>
          <w:tab w:val="left" w:pos="993" w:leader="none"/>
        </w:tabs>
        <w:rPr>
          <w:sz w:val="24"/>
          <w:szCs w:val="24"/>
          <w:lang w:eastAsia="en-US"/>
        </w:rPr>
      </w:pPr>
      <w:r>
        <w:rPr>
          <w:sz w:val="24"/>
          <w:szCs w:val="24"/>
          <w:lang w:eastAsia="en-US"/>
        </w:rPr>
        <w:t xml:space="preserve">В рамках реализации инициативных проектов на территории Белоярск</w:t>
      </w:r>
      <w:r>
        <w:rPr>
          <w:sz w:val="24"/>
          <w:szCs w:val="24"/>
          <w:lang w:eastAsia="en-US"/>
        </w:rPr>
        <w:t xml:space="preserve">ого района в текущем году реализованы 7 инициативных проектов на общую сумму 30,1 млн. рублей. Выполнены работы по благоустройству общественных территорий сельских поселений – проектов победителей регионального конкурса инициативных проектов в ХМАО – Югре:</w:t>
      </w:r>
      <w:r>
        <w:rPr>
          <w:sz w:val="24"/>
          <w:szCs w:val="24"/>
          <w:lang w:eastAsia="en-US"/>
        </w:rPr>
      </w:r>
      <w:r>
        <w:rPr>
          <w:sz w:val="24"/>
          <w:szCs w:val="24"/>
          <w:lang w:eastAsia="en-US"/>
        </w:rPr>
      </w:r>
    </w:p>
    <w:p>
      <w:pPr>
        <w:pStyle w:val="934"/>
        <w:numPr>
          <w:ilvl w:val="0"/>
          <w:numId w:val="39"/>
        </w:numPr>
        <w:ind w:left="0" w:firstLine="709"/>
        <w:jc w:val="both"/>
        <w:spacing w:line="300" w:lineRule="auto"/>
        <w:tabs>
          <w:tab w:val="left" w:pos="709" w:leader="none"/>
          <w:tab w:val="left" w:pos="993" w:leader="none"/>
        </w:tabs>
        <w:rPr>
          <w:sz w:val="24"/>
          <w:szCs w:val="24"/>
          <w:lang w:eastAsia="en-US"/>
        </w:rPr>
      </w:pPr>
      <w:r>
        <w:rPr>
          <w:sz w:val="24"/>
          <w:szCs w:val="24"/>
          <w:lang w:eastAsia="en-US"/>
        </w:rPr>
        <w:t xml:space="preserve">«Хот сумие» / «Семейный уголок». Благоустройство этнокультурного парка «Ай Курт» в сельском поселении Сосновка, 2 этап;</w:t>
      </w:r>
      <w:r>
        <w:rPr>
          <w:sz w:val="24"/>
          <w:szCs w:val="24"/>
          <w:lang w:eastAsia="en-US"/>
        </w:rPr>
      </w:r>
      <w:r>
        <w:rPr>
          <w:sz w:val="24"/>
          <w:szCs w:val="24"/>
          <w:lang w:eastAsia="en-US"/>
        </w:rPr>
      </w:r>
    </w:p>
    <w:p>
      <w:pPr>
        <w:pStyle w:val="934"/>
        <w:numPr>
          <w:ilvl w:val="0"/>
          <w:numId w:val="39"/>
        </w:numPr>
        <w:ind w:left="0" w:firstLine="709"/>
        <w:jc w:val="both"/>
        <w:spacing w:line="300" w:lineRule="auto"/>
        <w:tabs>
          <w:tab w:val="left" w:pos="709" w:leader="none"/>
          <w:tab w:val="left" w:pos="993" w:leader="none"/>
        </w:tabs>
        <w:rPr>
          <w:sz w:val="24"/>
          <w:szCs w:val="24"/>
          <w:lang w:eastAsia="en-US"/>
        </w:rPr>
      </w:pPr>
      <w:r>
        <w:rPr>
          <w:sz w:val="24"/>
          <w:szCs w:val="24"/>
          <w:lang w:eastAsia="en-US"/>
        </w:rPr>
        <w:t xml:space="preserve">«Благоустройство общественной территории «Двор мечты» - 1 этап в сельском поселении Верхнеказымский.</w:t>
      </w:r>
      <w:r>
        <w:rPr>
          <w:sz w:val="24"/>
          <w:szCs w:val="24"/>
          <w:lang w:eastAsia="en-US"/>
        </w:rPr>
      </w:r>
      <w:r>
        <w:rPr>
          <w:sz w:val="24"/>
          <w:szCs w:val="24"/>
          <w:lang w:eastAsia="en-US"/>
        </w:rPr>
      </w:r>
    </w:p>
    <w:p>
      <w:pPr>
        <w:pStyle w:val="934"/>
        <w:ind w:firstLine="709"/>
        <w:jc w:val="both"/>
        <w:spacing w:line="300" w:lineRule="auto"/>
        <w:rPr>
          <w:rFonts w:eastAsia="Calibri"/>
          <w:sz w:val="24"/>
          <w:szCs w:val="24"/>
          <w:lang w:eastAsia="en-US"/>
        </w:rPr>
      </w:pPr>
      <w:r>
        <w:rPr>
          <w:rFonts w:eastAsia="Calibri"/>
          <w:sz w:val="24"/>
          <w:szCs w:val="24"/>
          <w:lang w:eastAsia="en-US"/>
        </w:rPr>
        <w:t xml:space="preserve">Кроме того, в отчетном году выполнено благоустройство 2 дворовых территорий в 4 и 3 микрорайонах г. Белоярский. </w:t>
      </w:r>
      <w:r>
        <w:rPr>
          <w:rFonts w:eastAsia="Calibri"/>
          <w:sz w:val="24"/>
          <w:szCs w:val="24"/>
          <w:lang w:eastAsia="en-US"/>
        </w:rPr>
      </w:r>
      <w:r>
        <w:rPr>
          <w:rFonts w:eastAsia="Calibri"/>
          <w:sz w:val="24"/>
          <w:szCs w:val="24"/>
          <w:lang w:eastAsia="en-US"/>
        </w:rPr>
      </w:r>
    </w:p>
    <w:p>
      <w:pPr>
        <w:pStyle w:val="934"/>
        <w:ind w:firstLine="709"/>
        <w:jc w:val="both"/>
        <w:spacing w:line="300" w:lineRule="auto"/>
        <w:rPr>
          <w:rFonts w:eastAsia="Calibri"/>
          <w:sz w:val="24"/>
          <w:szCs w:val="24"/>
          <w:lang w:eastAsia="en-US"/>
        </w:rPr>
      </w:pPr>
      <w:r>
        <w:rPr>
          <w:rFonts w:eastAsia="Calibri"/>
          <w:sz w:val="24"/>
          <w:szCs w:val="24"/>
          <w:lang w:eastAsia="en-US"/>
        </w:rPr>
        <w:t xml:space="preserve">Активное участие в создании комфортной городской среды принимают жители Белоярского района, представители бизнеса, депутаты Думы Белоярского района, депутаты Совета депутатов городского поселения Белоярский, представители органов власти.</w:t>
      </w:r>
      <w:r>
        <w:rPr>
          <w:rFonts w:eastAsia="Calibri"/>
          <w:sz w:val="24"/>
          <w:szCs w:val="24"/>
          <w:lang w:eastAsia="en-US"/>
        </w:rPr>
      </w:r>
      <w:r>
        <w:rPr>
          <w:rFonts w:eastAsia="Calibri"/>
          <w:sz w:val="24"/>
          <w:szCs w:val="24"/>
          <w:lang w:eastAsia="en-US"/>
        </w:rPr>
      </w:r>
    </w:p>
    <w:p>
      <w:pPr>
        <w:pStyle w:val="939"/>
        <w:ind w:left="576"/>
        <w:jc w:val="center"/>
        <w:spacing w:before="0" w:after="0" w:line="276" w:lineRule="auto"/>
        <w:tabs>
          <w:tab w:val="center" w:pos="4879" w:leader="none"/>
        </w:tabs>
        <w:rPr>
          <w:i w:val="0"/>
          <w:color w:val="000000" w:themeColor="text1"/>
          <w:sz w:val="24"/>
          <w:szCs w:val="24"/>
        </w:rPr>
      </w:pPr>
      <w:r>
        <w:rPr>
          <w:i w:val="0"/>
          <w:color w:val="ff0000"/>
          <w:sz w:val="24"/>
          <w:szCs w:val="24"/>
        </w:rPr>
      </w:r>
      <w:r>
        <w:rPr>
          <w:i w:val="0"/>
          <w:color w:val="000000" w:themeColor="text1"/>
          <w:sz w:val="24"/>
          <w:szCs w:val="24"/>
        </w:rPr>
      </w:r>
      <w:r>
        <w:rPr>
          <w:i w:val="0"/>
          <w:color w:val="000000" w:themeColor="text1"/>
          <w:sz w:val="24"/>
          <w:szCs w:val="24"/>
        </w:rPr>
      </w:r>
    </w:p>
    <w:p>
      <w:pPr>
        <w:pStyle w:val="939"/>
        <w:ind w:left="576"/>
        <w:jc w:val="center"/>
        <w:spacing w:before="0" w:after="0" w:line="276" w:lineRule="auto"/>
        <w:tabs>
          <w:tab w:val="center" w:pos="4879" w:leader="none"/>
        </w:tabs>
        <w:rPr>
          <w:i w:val="0"/>
          <w:sz w:val="24"/>
          <w:szCs w:val="24"/>
        </w:rPr>
      </w:pPr>
      <w:r>
        <w:rPr>
          <w:i w:val="0"/>
          <w:sz w:val="24"/>
          <w:szCs w:val="24"/>
        </w:rPr>
      </w:r>
      <w:r>
        <w:rPr>
          <w:i w:val="0"/>
          <w:sz w:val="24"/>
          <w:szCs w:val="24"/>
        </w:rPr>
      </w:r>
      <w:r>
        <w:rPr>
          <w:i w:val="0"/>
          <w:sz w:val="24"/>
          <w:szCs w:val="24"/>
        </w:rPr>
      </w:r>
    </w:p>
    <w:p>
      <w:pPr>
        <w:pStyle w:val="939"/>
        <w:ind w:left="576"/>
        <w:jc w:val="center"/>
        <w:spacing w:before="0" w:after="0" w:line="276" w:lineRule="auto"/>
        <w:tabs>
          <w:tab w:val="center" w:pos="4879" w:leader="none"/>
        </w:tabs>
        <w:rPr>
          <w:i w:val="0"/>
          <w:sz w:val="24"/>
          <w:szCs w:val="24"/>
        </w:rPr>
      </w:pPr>
      <w:r>
        <w:rPr>
          <w:i w:val="0"/>
          <w:sz w:val="24"/>
          <w:szCs w:val="24"/>
        </w:rPr>
      </w:r>
      <w:r>
        <w:rPr>
          <w:i w:val="0"/>
          <w:sz w:val="24"/>
          <w:szCs w:val="24"/>
        </w:rPr>
      </w:r>
      <w:r>
        <w:rPr>
          <w:i w:val="0"/>
          <w:sz w:val="24"/>
          <w:szCs w:val="24"/>
        </w:rPr>
      </w:r>
    </w:p>
    <w:p>
      <w:pPr>
        <w:pStyle w:val="939"/>
        <w:ind w:left="576"/>
        <w:jc w:val="center"/>
        <w:spacing w:before="0" w:after="0" w:line="276" w:lineRule="auto"/>
        <w:tabs>
          <w:tab w:val="center" w:pos="4879" w:leader="none"/>
        </w:tabs>
        <w:rPr>
          <w:i w:val="0"/>
          <w:sz w:val="24"/>
          <w:szCs w:val="24"/>
        </w:rPr>
      </w:pPr>
      <w:r>
        <w:rPr>
          <w:i w:val="0"/>
          <w:sz w:val="24"/>
          <w:szCs w:val="24"/>
        </w:rPr>
        <w:t xml:space="preserve">5. РАЗВИТИЕ ОТРАСЛЕЙ СОЦИАЛЬНОЙ СФЕРЫ</w:t>
      </w:r>
      <w:r>
        <w:rPr>
          <w:i w:val="0"/>
          <w:sz w:val="24"/>
          <w:szCs w:val="24"/>
        </w:rPr>
      </w:r>
      <w:r>
        <w:rPr>
          <w:i w:val="0"/>
          <w:sz w:val="24"/>
          <w:szCs w:val="24"/>
        </w:rPr>
      </w:r>
    </w:p>
    <w:p>
      <w:pPr>
        <w:pStyle w:val="934"/>
        <w:spacing w:line="276" w:lineRule="auto"/>
        <w:rPr>
          <w:sz w:val="24"/>
          <w:szCs w:val="24"/>
        </w:rPr>
      </w:pPr>
      <w:r>
        <w:rPr>
          <w:sz w:val="24"/>
          <w:szCs w:val="24"/>
        </w:rPr>
      </w:r>
      <w:r>
        <w:rPr>
          <w:sz w:val="24"/>
          <w:szCs w:val="24"/>
        </w:rPr>
      </w:r>
      <w:r>
        <w:rPr>
          <w:sz w:val="24"/>
          <w:szCs w:val="24"/>
        </w:rPr>
      </w:r>
    </w:p>
    <w:p>
      <w:pPr>
        <w:pStyle w:val="965"/>
        <w:spacing w:line="276" w:lineRule="auto"/>
        <w:rPr>
          <w:szCs w:val="24"/>
        </w:rPr>
        <w:outlineLvl w:val="0"/>
      </w:pPr>
      <w:r>
        <w:rPr>
          <w:szCs w:val="24"/>
        </w:rPr>
        <w:t xml:space="preserve">Здравоохранение </w:t>
      </w:r>
      <w:r>
        <w:rPr>
          <w:szCs w:val="24"/>
        </w:rPr>
      </w:r>
      <w:r>
        <w:rPr>
          <w:szCs w:val="24"/>
        </w:rPr>
      </w:r>
    </w:p>
    <w:p>
      <w:pPr>
        <w:pStyle w:val="934"/>
        <w:ind w:firstLine="720"/>
        <w:jc w:val="both"/>
        <w:spacing w:line="300" w:lineRule="auto"/>
        <w:tabs>
          <w:tab w:val="left" w:pos="720" w:leader="none"/>
        </w:tabs>
        <w:rPr>
          <w:sz w:val="24"/>
          <w:szCs w:val="24"/>
        </w:rPr>
      </w:pPr>
      <w:r>
        <w:rPr>
          <w:sz w:val="24"/>
          <w:szCs w:val="24"/>
        </w:rPr>
        <w:t xml:space="preserve">Система здравоохранения Белоярского района представлена бюджетным учреждением Ханты-Мансийского автономного округа - Югры «Белоярская районная больница» (далее – БУ ХМАО-Югры «БРБ») со структурными подразделениями в городе и сельских поселениях. </w:t>
      </w:r>
      <w:r>
        <w:rPr>
          <w:sz w:val="24"/>
          <w:szCs w:val="24"/>
        </w:rPr>
        <w:t xml:space="preserve">В состав БУ ХМАО-Югры «БРБ» входят больничные учреждения на 203 койки круглосуточного стационара, амбулаторно-поликлинические подразделения на 975 посещений в смену, фельдшерско-акушерские пункты в деревнях Юильск, Нумто, Тугияны, Пашторы и селе Ванзеват. </w:t>
      </w:r>
      <w:r>
        <w:rPr>
          <w:sz w:val="24"/>
          <w:szCs w:val="24"/>
        </w:rPr>
      </w:r>
      <w:r>
        <w:rPr>
          <w:sz w:val="24"/>
          <w:szCs w:val="24"/>
        </w:rPr>
      </w:r>
    </w:p>
    <w:p>
      <w:pPr>
        <w:pStyle w:val="934"/>
        <w:ind w:firstLine="720"/>
        <w:jc w:val="both"/>
        <w:spacing w:line="300" w:lineRule="auto"/>
        <w:tabs>
          <w:tab w:val="left" w:pos="720" w:leader="none"/>
        </w:tabs>
        <w:rPr>
          <w:sz w:val="24"/>
          <w:szCs w:val="24"/>
        </w:rPr>
      </w:pPr>
      <w:r>
        <w:rPr>
          <w:sz w:val="24"/>
          <w:szCs w:val="24"/>
        </w:rPr>
        <w:t xml:space="preserve">В 2024 году в поликлинику приобретена и введена в эксплуатацию система флюороскопичес</w:t>
      </w:r>
      <w:r>
        <w:rPr>
          <w:sz w:val="24"/>
          <w:szCs w:val="24"/>
        </w:rPr>
        <w:t xml:space="preserve">кая рентгеновская общего назначения стоимостью 30 млн. рублей, выполнены работы по ремонту компьютерного томографа. За счет окружного бюджета приобретены 4 санитарных автомобиля повышенной проходимости для оказания медицинской помощи в труднодоступных и от</w:t>
      </w:r>
      <w:r>
        <w:rPr>
          <w:sz w:val="24"/>
          <w:szCs w:val="24"/>
        </w:rPr>
        <w:t xml:space="preserve">даленных населенных пунктах Белоярского района. Также в отчетном году проведены ремонтные работы в помещениях дезинфекторской и детской поликлиники, палатах и санитарном блоке для круглосуточного лечения паллиативных больных на общую сумму 2,9 млн. рублей.</w:t>
      </w:r>
      <w:r>
        <w:rPr>
          <w:sz w:val="24"/>
          <w:szCs w:val="24"/>
        </w:rPr>
      </w:r>
      <w:r>
        <w:rPr>
          <w:sz w:val="24"/>
          <w:szCs w:val="24"/>
        </w:rPr>
      </w:r>
    </w:p>
    <w:p>
      <w:pPr>
        <w:pStyle w:val="934"/>
        <w:ind w:firstLine="720"/>
        <w:jc w:val="both"/>
        <w:spacing w:line="300" w:lineRule="auto"/>
        <w:tabs>
          <w:tab w:val="left" w:pos="720" w:leader="none"/>
        </w:tabs>
        <w:rPr>
          <w:sz w:val="24"/>
          <w:szCs w:val="24"/>
        </w:rPr>
      </w:pPr>
      <w:r>
        <w:rPr>
          <w:sz w:val="24"/>
          <w:szCs w:val="24"/>
        </w:rPr>
        <w:t xml:space="preserve">Обеспеченность круглосуточными больничными койками в расчете на 10 тысяч населения составила 71 койка.</w:t>
      </w:r>
      <w:r>
        <w:rPr>
          <w:sz w:val="24"/>
          <w:szCs w:val="24"/>
        </w:rPr>
      </w:r>
      <w:r>
        <w:rPr>
          <w:sz w:val="24"/>
          <w:szCs w:val="24"/>
        </w:rPr>
      </w:r>
    </w:p>
    <w:p>
      <w:pPr>
        <w:pStyle w:val="934"/>
        <w:ind w:firstLine="720"/>
        <w:jc w:val="both"/>
        <w:spacing w:line="300" w:lineRule="auto"/>
        <w:tabs>
          <w:tab w:val="left" w:pos="720" w:leader="none"/>
        </w:tabs>
        <w:rPr>
          <w:color w:val="ff0000"/>
          <w:sz w:val="24"/>
          <w:szCs w:val="24"/>
        </w:rPr>
      </w:pPr>
      <w:r>
        <w:rPr>
          <w:sz w:val="24"/>
          <w:szCs w:val="24"/>
        </w:rPr>
        <w:t xml:space="preserve">Гемодиализным центром в г. Белоярский за отчетный год проведено 1 385 процедур</w:t>
      </w:r>
      <w:r>
        <w:rPr>
          <w:color w:val="ff0000"/>
          <w:sz w:val="24"/>
          <w:szCs w:val="24"/>
        </w:rPr>
        <w:t xml:space="preserve">.</w:t>
      </w:r>
      <w:r>
        <w:rPr>
          <w:color w:val="ff0000"/>
          <w:sz w:val="24"/>
          <w:szCs w:val="24"/>
        </w:rPr>
      </w:r>
      <w:r>
        <w:rPr>
          <w:color w:val="ff0000"/>
          <w:sz w:val="24"/>
          <w:szCs w:val="24"/>
        </w:rPr>
      </w:r>
    </w:p>
    <w:p>
      <w:pPr>
        <w:pStyle w:val="934"/>
        <w:ind w:firstLine="720"/>
        <w:jc w:val="both"/>
        <w:spacing w:line="300" w:lineRule="auto"/>
        <w:rPr>
          <w:spacing w:val="2"/>
          <w:position w:val="-2"/>
          <w:sz w:val="24"/>
          <w:szCs w:val="24"/>
        </w:rPr>
      </w:pPr>
      <w:r>
        <w:rPr>
          <w:spacing w:val="2"/>
          <w:position w:val="-2"/>
          <w:sz w:val="24"/>
          <w:szCs w:val="24"/>
        </w:rPr>
        <w:t xml:space="preserve">В рамках Указа Президента Российской Федерации от 7 мая 2012 года № 597 «О мерах по реализации государственной социальной политики» среднемесячная заработная плата р</w:t>
      </w:r>
      <w:r>
        <w:rPr>
          <w:spacing w:val="2"/>
          <w:position w:val="-2"/>
          <w:sz w:val="24"/>
          <w:szCs w:val="24"/>
        </w:rPr>
        <w:t xml:space="preserve">аботников здравоохранения за </w:t>
      </w:r>
      <w:r>
        <w:rPr>
          <w:spacing w:val="2"/>
          <w:position w:val="-2"/>
          <w:sz w:val="24"/>
          <w:szCs w:val="24"/>
        </w:rPr>
        <w:t xml:space="preserve">2024 год</w:t>
      </w:r>
      <w:r>
        <w:rPr>
          <w:spacing w:val="2"/>
          <w:position w:val="-2"/>
          <w:sz w:val="24"/>
          <w:szCs w:val="24"/>
        </w:rPr>
        <w:t xml:space="preserve"> составила:   </w:t>
      </w:r>
      <w:r>
        <w:rPr>
          <w:spacing w:val="2"/>
          <w:position w:val="-2"/>
          <w:sz w:val="24"/>
          <w:szCs w:val="24"/>
        </w:rPr>
      </w:r>
      <w:r>
        <w:rPr>
          <w:spacing w:val="2"/>
          <w:position w:val="-2"/>
          <w:sz w:val="24"/>
          <w:szCs w:val="24"/>
        </w:rPr>
      </w:r>
    </w:p>
    <w:p>
      <w:pPr>
        <w:pStyle w:val="934"/>
        <w:ind w:firstLine="708"/>
        <w:jc w:val="both"/>
        <w:spacing w:line="300" w:lineRule="auto"/>
        <w:rPr>
          <w:spacing w:val="2"/>
          <w:position w:val="-2"/>
          <w:sz w:val="24"/>
          <w:szCs w:val="24"/>
        </w:rPr>
      </w:pPr>
      <w:r>
        <w:rPr>
          <w:spacing w:val="2"/>
          <w:position w:val="-2"/>
          <w:sz w:val="24"/>
          <w:szCs w:val="24"/>
        </w:rPr>
        <w:t xml:space="preserve">- врачи и работники, имеющие высшее медицинское и иное</w:t>
      </w:r>
      <w:r>
        <w:rPr>
          <w:spacing w:val="2"/>
          <w:position w:val="-2"/>
          <w:sz w:val="24"/>
          <w:szCs w:val="24"/>
        </w:rPr>
        <w:t xml:space="preserve"> высшее образование – </w:t>
      </w:r>
      <w:r>
        <w:rPr>
          <w:spacing w:val="2"/>
          <w:position w:val="-2"/>
          <w:sz w:val="24"/>
          <w:szCs w:val="24"/>
        </w:rPr>
        <w:t xml:space="preserve">239 077,8</w:t>
      </w:r>
      <w:r>
        <w:rPr>
          <w:spacing w:val="2"/>
          <w:position w:val="-2"/>
          <w:sz w:val="24"/>
          <w:szCs w:val="24"/>
        </w:rPr>
        <w:t xml:space="preserve"> руб.; </w:t>
      </w:r>
      <w:r>
        <w:rPr>
          <w:spacing w:val="2"/>
          <w:position w:val="-2"/>
          <w:sz w:val="24"/>
          <w:szCs w:val="24"/>
        </w:rPr>
      </w:r>
      <w:r>
        <w:rPr>
          <w:spacing w:val="2"/>
          <w:position w:val="-2"/>
          <w:sz w:val="24"/>
          <w:szCs w:val="24"/>
        </w:rPr>
      </w:r>
    </w:p>
    <w:p>
      <w:pPr>
        <w:pStyle w:val="934"/>
        <w:ind w:firstLine="708"/>
        <w:jc w:val="both"/>
        <w:spacing w:line="300" w:lineRule="auto"/>
        <w:rPr>
          <w:spacing w:val="2"/>
          <w:position w:val="-2"/>
          <w:sz w:val="24"/>
          <w:szCs w:val="24"/>
        </w:rPr>
      </w:pPr>
      <w:r>
        <w:rPr>
          <w:spacing w:val="2"/>
          <w:position w:val="-2"/>
          <w:sz w:val="24"/>
          <w:szCs w:val="24"/>
        </w:rPr>
        <w:t xml:space="preserve">- средний медицинский (фармац</w:t>
      </w:r>
      <w:r>
        <w:rPr>
          <w:spacing w:val="2"/>
          <w:position w:val="-2"/>
          <w:sz w:val="24"/>
          <w:szCs w:val="24"/>
        </w:rPr>
        <w:t xml:space="preserve">евтический) персонал – </w:t>
      </w:r>
      <w:r>
        <w:rPr>
          <w:spacing w:val="2"/>
          <w:position w:val="-2"/>
          <w:sz w:val="24"/>
          <w:szCs w:val="24"/>
        </w:rPr>
        <w:t xml:space="preserve">110 199,3</w:t>
      </w:r>
      <w:r>
        <w:rPr>
          <w:spacing w:val="2"/>
          <w:position w:val="-2"/>
          <w:sz w:val="24"/>
          <w:szCs w:val="24"/>
        </w:rPr>
        <w:t xml:space="preserve"> руб.;</w:t>
      </w:r>
      <w:r>
        <w:rPr>
          <w:spacing w:val="2"/>
          <w:position w:val="-2"/>
          <w:sz w:val="24"/>
          <w:szCs w:val="24"/>
        </w:rPr>
      </w:r>
      <w:r>
        <w:rPr>
          <w:spacing w:val="2"/>
          <w:position w:val="-2"/>
          <w:sz w:val="24"/>
          <w:szCs w:val="24"/>
        </w:rPr>
      </w:r>
    </w:p>
    <w:p>
      <w:pPr>
        <w:pStyle w:val="934"/>
        <w:ind w:firstLine="708"/>
        <w:jc w:val="both"/>
        <w:spacing w:line="300" w:lineRule="auto"/>
        <w:rPr>
          <w:spacing w:val="2"/>
          <w:position w:val="-2"/>
          <w:sz w:val="24"/>
          <w:szCs w:val="24"/>
        </w:rPr>
      </w:pPr>
      <w:r>
        <w:rPr>
          <w:spacing w:val="2"/>
          <w:position w:val="-2"/>
          <w:sz w:val="24"/>
          <w:szCs w:val="24"/>
        </w:rPr>
        <w:t xml:space="preserve">- младший </w:t>
      </w:r>
      <w:r>
        <w:rPr>
          <w:spacing w:val="2"/>
          <w:position w:val="-2"/>
          <w:sz w:val="24"/>
          <w:szCs w:val="24"/>
        </w:rPr>
        <w:t xml:space="preserve">медицинский персонал – </w:t>
      </w:r>
      <w:r>
        <w:rPr>
          <w:spacing w:val="2"/>
          <w:position w:val="-2"/>
          <w:sz w:val="24"/>
          <w:szCs w:val="24"/>
        </w:rPr>
        <w:t xml:space="preserve">110 207,5</w:t>
      </w:r>
      <w:r>
        <w:rPr>
          <w:spacing w:val="2"/>
          <w:position w:val="-2"/>
          <w:sz w:val="24"/>
          <w:szCs w:val="24"/>
        </w:rPr>
        <w:t xml:space="preserve"> руб. </w:t>
      </w:r>
      <w:r>
        <w:rPr>
          <w:spacing w:val="2"/>
          <w:position w:val="-2"/>
          <w:sz w:val="24"/>
          <w:szCs w:val="24"/>
        </w:rPr>
      </w:r>
      <w:r>
        <w:rPr>
          <w:spacing w:val="2"/>
          <w:position w:val="-2"/>
          <w:sz w:val="24"/>
          <w:szCs w:val="24"/>
        </w:rPr>
      </w:r>
    </w:p>
    <w:p>
      <w:pPr>
        <w:pStyle w:val="934"/>
        <w:ind w:firstLine="708"/>
        <w:jc w:val="both"/>
        <w:spacing w:line="276" w:lineRule="auto"/>
        <w:rPr>
          <w:color w:val="ff0000"/>
          <w:spacing w:val="2"/>
          <w:position w:val="-2"/>
          <w:sz w:val="24"/>
          <w:szCs w:val="24"/>
        </w:rPr>
      </w:pPr>
      <w:r>
        <w:rPr>
          <w:color w:val="ff0000"/>
          <w:spacing w:val="2"/>
          <w:position w:val="-2"/>
          <w:sz w:val="24"/>
          <w:szCs w:val="24"/>
        </w:rPr>
      </w:r>
      <w:r>
        <w:rPr>
          <w:color w:val="ff0000"/>
          <w:spacing w:val="2"/>
          <w:position w:val="-2"/>
          <w:sz w:val="24"/>
          <w:szCs w:val="24"/>
        </w:rPr>
      </w:r>
      <w:r>
        <w:rPr>
          <w:color w:val="ff0000"/>
          <w:spacing w:val="2"/>
          <w:position w:val="-2"/>
          <w:sz w:val="24"/>
          <w:szCs w:val="24"/>
        </w:rPr>
      </w:r>
    </w:p>
    <w:p>
      <w:pPr>
        <w:pStyle w:val="934"/>
        <w:jc w:val="both"/>
        <w:spacing w:line="276" w:lineRule="auto"/>
        <w:rPr>
          <w:b/>
          <w:i/>
          <w:spacing w:val="2"/>
          <w:position w:val="-2"/>
          <w:sz w:val="24"/>
          <w:szCs w:val="24"/>
        </w:rPr>
      </w:pPr>
      <w:r>
        <w:rPr>
          <w:b/>
          <w:i/>
          <w:sz w:val="24"/>
          <w:szCs w:val="24"/>
        </w:rPr>
        <w:t xml:space="preserve">Образование</w:t>
      </w:r>
      <w:r>
        <w:rPr>
          <w:b/>
          <w:i/>
          <w:spacing w:val="2"/>
          <w:position w:val="-2"/>
          <w:sz w:val="24"/>
          <w:szCs w:val="24"/>
        </w:rPr>
      </w:r>
      <w:r>
        <w:rPr>
          <w:b/>
          <w:i/>
          <w:spacing w:val="2"/>
          <w:position w:val="-2"/>
          <w:sz w:val="24"/>
          <w:szCs w:val="24"/>
        </w:rPr>
      </w:r>
    </w:p>
    <w:p>
      <w:pPr>
        <w:pStyle w:val="983"/>
      </w:pPr>
      <w:r>
        <w:t xml:space="preserve">В сфере образования в Б</w:t>
      </w:r>
      <w:r>
        <w:t xml:space="preserve">елоярском районе функционируют 5</w:t>
      </w:r>
      <w:r>
        <w:t xml:space="preserve"> дошкольных</w:t>
      </w:r>
      <w:r>
        <w:t xml:space="preserve"> образовательных учреждений и 11</w:t>
      </w:r>
      <w:r>
        <w:t xml:space="preserve"> уч</w:t>
      </w:r>
      <w:r>
        <w:t xml:space="preserve">реждений общего образования (в 7</w:t>
      </w:r>
      <w:r>
        <w:t xml:space="preserve">-м</w:t>
      </w:r>
      <w:r>
        <w:t xml:space="preserve">и из которых действуют группы дошкольного образования), 1 учрежд</w:t>
      </w:r>
      <w:r>
        <w:t xml:space="preserve">ение дополнительного образования, 1 бюджетное учреждение профессионального образования, а также муниципальное автономное учреждение Белоярского района «Белоярский методический центр информационно-технического обеспечения муниципальной системы образования».</w:t>
      </w:r>
      <w:r/>
    </w:p>
    <w:p>
      <w:pPr>
        <w:pStyle w:val="963"/>
        <w:ind w:left="0" w:firstLine="720"/>
        <w:jc w:val="both"/>
        <w:spacing w:after="0" w:line="276" w:lineRule="auto"/>
        <w:rPr>
          <w:sz w:val="24"/>
          <w:szCs w:val="24"/>
        </w:rPr>
      </w:pPr>
      <w:r>
        <w:rPr>
          <w:sz w:val="24"/>
          <w:szCs w:val="24"/>
        </w:rPr>
        <w:t xml:space="preserve">Общая фактическая мощность муниципальных учреждений, предоставляющих услуги дошкольного образования, составляет </w:t>
      </w:r>
      <w:r>
        <w:rPr>
          <w:sz w:val="24"/>
          <w:szCs w:val="24"/>
        </w:rPr>
        <w:t xml:space="preserve">2 </w:t>
      </w:r>
      <w:r>
        <w:rPr>
          <w:sz w:val="24"/>
          <w:szCs w:val="24"/>
        </w:rPr>
        <w:t xml:space="preserve">114</w:t>
      </w:r>
      <w:r>
        <w:rPr>
          <w:sz w:val="24"/>
          <w:szCs w:val="24"/>
        </w:rPr>
        <w:t xml:space="preserve"> мест</w:t>
      </w:r>
      <w:r>
        <w:rPr>
          <w:sz w:val="24"/>
          <w:szCs w:val="24"/>
        </w:rPr>
        <w:t xml:space="preserve"> </w:t>
      </w:r>
      <w:r>
        <w:rPr>
          <w:sz w:val="24"/>
          <w:szCs w:val="24"/>
        </w:rPr>
        <w:t xml:space="preserve">при количестве посещающих</w:t>
      </w:r>
      <w:r>
        <w:rPr>
          <w:sz w:val="24"/>
          <w:szCs w:val="24"/>
        </w:rPr>
        <w:t xml:space="preserve"> -</w:t>
      </w:r>
      <w:r>
        <w:rPr>
          <w:sz w:val="24"/>
          <w:szCs w:val="24"/>
        </w:rPr>
        <w:t xml:space="preserve"> </w:t>
      </w:r>
      <w:r>
        <w:rPr>
          <w:sz w:val="24"/>
          <w:szCs w:val="24"/>
        </w:rPr>
        <w:t xml:space="preserve"> </w:t>
      </w:r>
      <w:r>
        <w:rPr>
          <w:sz w:val="24"/>
          <w:szCs w:val="24"/>
        </w:rPr>
        <w:t xml:space="preserve">  </w:t>
      </w:r>
      <w:r>
        <w:rPr>
          <w:sz w:val="24"/>
          <w:szCs w:val="24"/>
        </w:rPr>
        <w:t xml:space="preserve">1 </w:t>
      </w:r>
      <w:r>
        <w:rPr>
          <w:sz w:val="24"/>
          <w:szCs w:val="24"/>
        </w:rPr>
        <w:t xml:space="preserve">854</w:t>
      </w:r>
      <w:r>
        <w:rPr>
          <w:sz w:val="24"/>
          <w:szCs w:val="24"/>
        </w:rPr>
        <w:t xml:space="preserve"> </w:t>
      </w:r>
      <w:r>
        <w:rPr>
          <w:sz w:val="24"/>
          <w:szCs w:val="24"/>
        </w:rPr>
        <w:t xml:space="preserve">ребенка</w:t>
      </w:r>
      <w:r>
        <w:rPr>
          <w:sz w:val="24"/>
          <w:szCs w:val="24"/>
        </w:rPr>
        <w:t xml:space="preserve">.</w:t>
      </w:r>
      <w:r>
        <w:rPr>
          <w:sz w:val="24"/>
          <w:szCs w:val="24"/>
        </w:rPr>
        <w:t xml:space="preserve"> </w:t>
      </w:r>
      <w:r>
        <w:rPr>
          <w:sz w:val="24"/>
          <w:szCs w:val="24"/>
        </w:rPr>
      </w:r>
      <w:r>
        <w:rPr>
          <w:sz w:val="24"/>
          <w:szCs w:val="24"/>
        </w:rPr>
      </w:r>
    </w:p>
    <w:p>
      <w:pPr>
        <w:pStyle w:val="963"/>
        <w:ind w:left="0" w:firstLine="720"/>
        <w:jc w:val="both"/>
        <w:spacing w:after="0" w:line="276" w:lineRule="auto"/>
        <w:rPr>
          <w:sz w:val="24"/>
          <w:szCs w:val="24"/>
        </w:rPr>
      </w:pPr>
      <w:r>
        <w:rPr>
          <w:sz w:val="24"/>
          <w:szCs w:val="24"/>
        </w:rPr>
        <w:t xml:space="preserve">В деревнях Нумто, Тугияны и Пашторы в рамках внедрения образовательного проекта «Стойбищная школа – сад» действуют группы кратковременного пребывания </w:t>
      </w:r>
      <w:r>
        <w:rPr>
          <w:sz w:val="24"/>
          <w:szCs w:val="24"/>
        </w:rPr>
        <w:t xml:space="preserve">детей дошкольного возраста.</w:t>
      </w:r>
      <w:r>
        <w:rPr>
          <w:sz w:val="24"/>
          <w:szCs w:val="24"/>
        </w:rPr>
        <w:t xml:space="preserve"> </w:t>
      </w:r>
      <w:r>
        <w:rPr>
          <w:sz w:val="24"/>
          <w:szCs w:val="24"/>
        </w:rPr>
      </w:r>
      <w:r>
        <w:rPr>
          <w:sz w:val="24"/>
          <w:szCs w:val="24"/>
        </w:rPr>
      </w:r>
    </w:p>
    <w:p>
      <w:pPr>
        <w:pStyle w:val="983"/>
      </w:pPr>
      <w:r>
        <w:t xml:space="preserve">В Белоярском районе </w:t>
      </w:r>
      <w:r>
        <w:t xml:space="preserve">обеспечена 100% доступность</w:t>
      </w:r>
      <w:r>
        <w:t xml:space="preserve"> дошкольного образования.</w:t>
      </w:r>
      <w:r/>
    </w:p>
    <w:p>
      <w:pPr>
        <w:pStyle w:val="983"/>
      </w:pPr>
      <w:r>
        <w:t xml:space="preserve">В рамках развития межмуниципального и международного сотрудничества в феврале текущего года в </w:t>
      </w:r>
      <w:r>
        <w:t xml:space="preserve">муниципальном автономном дошкольном образовательном учреждении</w:t>
      </w:r>
      <w:r>
        <w:t xml:space="preserve"> </w:t>
      </w:r>
      <w:r>
        <w:t xml:space="preserve">Белоярского района </w:t>
      </w:r>
      <w:r>
        <w:t xml:space="preserve">«Детский сад «Звездочка» г. Белоярский» состоялся межмуниципальный практико-ориентированный семинар по теме «Образовательное прос</w:t>
      </w:r>
      <w:r>
        <w:t xml:space="preserve">транство нового типа как инструмент организации культурных практик с детьми дошкольного возраста», в котором приняли участие 62 человека из 16 образовательных организаций Белоярского и Октябрьского районов, г. Макеевка Донецкой республики, а также на базе </w:t>
      </w:r>
      <w:r>
        <w:t xml:space="preserve">муниципального автономного дошкольного образовательного учреждения</w:t>
      </w:r>
      <w:r>
        <w:t xml:space="preserve"> </w:t>
      </w:r>
      <w:r>
        <w:t xml:space="preserve">Белоярского района </w:t>
      </w:r>
      <w:r>
        <w:t xml:space="preserve">«Детский сад Снегирек» г. Белоярский» прошел семинар-стажировка «ОТСМ-РТВ-ТРИЗ в образовательном процессе ДОО – </w:t>
      </w:r>
      <w:r>
        <w:t xml:space="preserve">универсальная технология развития способностей детей дошкольного возраста» с  участием педагогов Белоярского и Октябрьского районов, г. Урая, п. Теги Березовского района и в режиме онлайн Омской области, городского округа Верхотурский Свердловской области.</w:t>
      </w:r>
      <w:r/>
    </w:p>
    <w:p>
      <w:pPr>
        <w:pStyle w:val="983"/>
      </w:pPr>
      <w:r>
        <w:t xml:space="preserve">Муниципальные автономные дошкольные образовательные учреждения</w:t>
      </w:r>
      <w:r>
        <w:t xml:space="preserve"> Белоярского района «Детский сад «Звездочка» г. Белоярский» и «Детский сад «Семицветик г. Белоярский» стали победителями Всероссийского смотра-конкурса «Образцовый детский сад 2023-2024».</w:t>
      </w:r>
      <w:r/>
    </w:p>
    <w:p>
      <w:pPr>
        <w:pStyle w:val="934"/>
        <w:ind w:firstLine="720"/>
        <w:jc w:val="both"/>
        <w:spacing w:line="276" w:lineRule="auto"/>
        <w:shd w:val="clear" w:color="auto" w:fill="ffffff"/>
        <w:rPr>
          <w:sz w:val="24"/>
          <w:szCs w:val="24"/>
        </w:rPr>
      </w:pPr>
      <w:r>
        <w:rPr>
          <w:sz w:val="24"/>
          <w:szCs w:val="24"/>
        </w:rPr>
        <w:t xml:space="preserve">На территории</w:t>
      </w:r>
      <w:r>
        <w:rPr>
          <w:sz w:val="24"/>
          <w:szCs w:val="24"/>
        </w:rPr>
        <w:t xml:space="preserve"> Белоярского района действует 11</w:t>
      </w:r>
      <w:r>
        <w:rPr>
          <w:sz w:val="24"/>
          <w:szCs w:val="24"/>
        </w:rPr>
        <w:t xml:space="preserve"> муниципальных автономных общеобразовательных учреждений, мощность к</w:t>
      </w:r>
      <w:r>
        <w:rPr>
          <w:sz w:val="24"/>
          <w:szCs w:val="24"/>
        </w:rPr>
        <w:t xml:space="preserve">оторых </w:t>
      </w:r>
      <w:r>
        <w:rPr>
          <w:sz w:val="24"/>
          <w:szCs w:val="24"/>
        </w:rPr>
        <w:t xml:space="preserve">составляет 3 </w:t>
      </w:r>
      <w:r>
        <w:rPr>
          <w:sz w:val="24"/>
          <w:szCs w:val="24"/>
        </w:rPr>
        <w:t xml:space="preserve">9</w:t>
      </w:r>
      <w:r>
        <w:rPr>
          <w:sz w:val="24"/>
          <w:szCs w:val="24"/>
        </w:rPr>
        <w:t xml:space="preserve">96</w:t>
      </w:r>
      <w:r>
        <w:rPr>
          <w:sz w:val="24"/>
          <w:szCs w:val="24"/>
        </w:rPr>
        <w:t xml:space="preserve"> мест при численности учащихся </w:t>
      </w:r>
      <w:r>
        <w:rPr>
          <w:sz w:val="24"/>
          <w:szCs w:val="24"/>
        </w:rPr>
        <w:t xml:space="preserve">3 </w:t>
      </w:r>
      <w:r>
        <w:rPr>
          <w:sz w:val="24"/>
          <w:szCs w:val="24"/>
        </w:rPr>
        <w:t xml:space="preserve">896</w:t>
      </w:r>
      <w:r>
        <w:rPr>
          <w:sz w:val="24"/>
          <w:szCs w:val="24"/>
        </w:rPr>
        <w:t xml:space="preserve"> человек.</w:t>
      </w:r>
      <w:r>
        <w:rPr>
          <w:sz w:val="24"/>
          <w:szCs w:val="24"/>
        </w:rPr>
        <w:t xml:space="preserve"> </w:t>
      </w:r>
      <w:r>
        <w:rPr>
          <w:sz w:val="24"/>
          <w:szCs w:val="24"/>
        </w:rPr>
        <w:t xml:space="preserve">Все учреждения являются средними общеобразовательными школами, среди </w:t>
      </w:r>
      <w:r>
        <w:rPr>
          <w:sz w:val="24"/>
          <w:szCs w:val="24"/>
        </w:rPr>
        <w:t xml:space="preserve">которых</w:t>
      </w:r>
      <w:r>
        <w:rPr>
          <w:sz w:val="24"/>
          <w:szCs w:val="24"/>
        </w:rPr>
        <w:t xml:space="preserve"> 2 интернатных учреждения в с. Казым и с. Полноват. Обучение ведется в 1 смену.</w:t>
      </w:r>
      <w:r>
        <w:rPr>
          <w:sz w:val="24"/>
          <w:szCs w:val="24"/>
        </w:rPr>
        <w:t xml:space="preserve"> </w:t>
      </w:r>
      <w:r>
        <w:rPr>
          <w:sz w:val="24"/>
          <w:szCs w:val="24"/>
        </w:rPr>
      </w:r>
      <w:r>
        <w:rPr>
          <w:sz w:val="24"/>
          <w:szCs w:val="24"/>
        </w:rPr>
      </w:r>
    </w:p>
    <w:p>
      <w:pPr>
        <w:pStyle w:val="934"/>
        <w:ind w:firstLine="709"/>
        <w:jc w:val="both"/>
        <w:spacing w:line="276" w:lineRule="auto"/>
        <w:shd w:val="clear" w:color="auto" w:fill="ffffff"/>
        <w:rPr>
          <w:sz w:val="24"/>
          <w:szCs w:val="24"/>
        </w:rPr>
      </w:pPr>
      <w:r>
        <w:rPr>
          <w:sz w:val="24"/>
          <w:szCs w:val="24"/>
        </w:rPr>
        <w:t xml:space="preserve">По результатам регионального этапа всероссийских конкурсов профессионального мастерства в сфере образования Ханты-Мансийского автономного округа – Югры «Педагог года Югры – 2024» победи</w:t>
      </w:r>
      <w:r>
        <w:rPr>
          <w:sz w:val="24"/>
          <w:szCs w:val="24"/>
        </w:rPr>
        <w:t xml:space="preserve">телем в номинации «Руководитель</w:t>
      </w:r>
      <w:r>
        <w:rPr>
          <w:sz w:val="24"/>
          <w:szCs w:val="24"/>
        </w:rPr>
        <w:t xml:space="preserve"> года»  стал директор </w:t>
      </w:r>
      <w:r>
        <w:rPr>
          <w:sz w:val="24"/>
          <w:szCs w:val="24"/>
        </w:rPr>
        <w:t xml:space="preserve">школы</w:t>
      </w:r>
      <w:r>
        <w:rPr>
          <w:sz w:val="24"/>
          <w:szCs w:val="24"/>
        </w:rPr>
        <w:t xml:space="preserve"> с. Полноват Лузянин Алексей Григорьевич, призером в номинации «Учитель родного языка и литературы» и автором лучшего сайта – учитель начальных классов </w:t>
      </w:r>
      <w:r>
        <w:rPr>
          <w:sz w:val="24"/>
          <w:szCs w:val="24"/>
        </w:rPr>
        <w:t xml:space="preserve">школы</w:t>
      </w:r>
      <w:r>
        <w:rPr>
          <w:sz w:val="24"/>
          <w:szCs w:val="24"/>
        </w:rPr>
        <w:t xml:space="preserve"> с. Казым Захарова Любовь Викторовна, в пятерке лучших в номинации «Учитель года» - учитель начальных классов </w:t>
      </w:r>
      <w:r>
        <w:rPr>
          <w:sz w:val="24"/>
          <w:szCs w:val="24"/>
        </w:rPr>
        <w:t xml:space="preserve">школы</w:t>
      </w:r>
      <w:r>
        <w:rPr>
          <w:sz w:val="24"/>
          <w:szCs w:val="24"/>
        </w:rPr>
        <w:t xml:space="preserve"> п. Сосновка Усова Мария Александровна, в номинации «Воспитатель года» - музыкальный руководитель </w:t>
      </w:r>
      <w:r>
        <w:rPr>
          <w:sz w:val="24"/>
          <w:szCs w:val="24"/>
        </w:rPr>
        <w:t xml:space="preserve">муниципального автономного дошкольного образовательного учреждения Белоярского района</w:t>
      </w:r>
      <w:r>
        <w:rPr>
          <w:sz w:val="24"/>
          <w:szCs w:val="24"/>
        </w:rPr>
        <w:t xml:space="preserve"> «Детский сад «Снегирек» г. Белоярский» Туркина Екатерина Валерьевна – обладатель специального приза родительских симпатий. </w:t>
      </w:r>
      <w:r>
        <w:rPr>
          <w:sz w:val="24"/>
          <w:szCs w:val="24"/>
        </w:rPr>
      </w:r>
      <w:r>
        <w:rPr>
          <w:sz w:val="24"/>
          <w:szCs w:val="24"/>
        </w:rPr>
      </w:r>
    </w:p>
    <w:p>
      <w:pPr>
        <w:pStyle w:val="934"/>
        <w:ind w:firstLine="720"/>
        <w:jc w:val="both"/>
        <w:spacing w:line="276" w:lineRule="auto"/>
        <w:shd w:val="clear" w:color="auto" w:fill="ffffff"/>
        <w:rPr>
          <w:sz w:val="24"/>
          <w:szCs w:val="24"/>
        </w:rPr>
      </w:pPr>
      <w:r>
        <w:rPr>
          <w:sz w:val="24"/>
          <w:szCs w:val="24"/>
        </w:rPr>
        <w:t xml:space="preserve">Призером регионального этапа Всероссийского Чемпионата по профессиональному мастерству «Профессионалы» стала учащаяся 10 класса </w:t>
      </w:r>
      <w:r>
        <w:rPr>
          <w:sz w:val="24"/>
          <w:szCs w:val="24"/>
        </w:rPr>
        <w:t xml:space="preserve">МАОУ</w:t>
      </w:r>
      <w:r>
        <w:rPr>
          <w:sz w:val="24"/>
          <w:szCs w:val="24"/>
        </w:rPr>
        <w:t xml:space="preserve"> Белоярского района</w:t>
      </w:r>
      <w:r>
        <w:rPr>
          <w:sz w:val="24"/>
          <w:szCs w:val="24"/>
        </w:rPr>
        <w:t xml:space="preserve"> </w:t>
      </w:r>
      <w:r>
        <w:rPr>
          <w:sz w:val="24"/>
          <w:szCs w:val="24"/>
        </w:rPr>
        <w:t xml:space="preserve">«Средняя общеобразовательная школа им. И.Ф. Пермякова с. Полноват»</w:t>
      </w:r>
      <w:r>
        <w:rPr>
          <w:sz w:val="24"/>
          <w:szCs w:val="24"/>
        </w:rPr>
        <w:t xml:space="preserve">. </w:t>
      </w:r>
      <w:r>
        <w:rPr>
          <w:sz w:val="24"/>
          <w:szCs w:val="24"/>
        </w:rPr>
      </w:r>
      <w:r>
        <w:rPr>
          <w:sz w:val="24"/>
          <w:szCs w:val="24"/>
        </w:rPr>
      </w:r>
    </w:p>
    <w:p>
      <w:pPr>
        <w:pStyle w:val="934"/>
        <w:ind w:firstLine="720"/>
        <w:jc w:val="both"/>
        <w:spacing w:line="276" w:lineRule="auto"/>
        <w:shd w:val="clear" w:color="auto" w:fill="ffffff"/>
        <w:rPr>
          <w:sz w:val="24"/>
          <w:szCs w:val="24"/>
        </w:rPr>
      </w:pPr>
      <w:r>
        <w:rPr>
          <w:sz w:val="24"/>
          <w:szCs w:val="24"/>
        </w:rPr>
        <w:t xml:space="preserve">В число двенадцати лучших «умников» по результатам региональной олимпиады школьников «Умники и умницы» вошли 2 обучающихся </w:t>
      </w:r>
      <w:r>
        <w:rPr>
          <w:sz w:val="24"/>
          <w:szCs w:val="24"/>
        </w:rPr>
        <w:t xml:space="preserve">МАОУ</w:t>
      </w:r>
      <w:r>
        <w:rPr>
          <w:sz w:val="24"/>
          <w:szCs w:val="24"/>
        </w:rPr>
        <w:t xml:space="preserve"> Белоярского района </w:t>
      </w:r>
      <w:r>
        <w:rPr>
          <w:sz w:val="24"/>
          <w:szCs w:val="24"/>
        </w:rPr>
        <w:t xml:space="preserve">«Средняя общеобразовательная школа № 1 г. Белоярский» и «Средняя общеобразовательная школа п. Сосновка».</w:t>
      </w:r>
      <w:r>
        <w:rPr>
          <w:sz w:val="24"/>
          <w:szCs w:val="24"/>
        </w:rPr>
      </w:r>
      <w:r>
        <w:rPr>
          <w:sz w:val="24"/>
          <w:szCs w:val="24"/>
        </w:rPr>
      </w:r>
    </w:p>
    <w:p>
      <w:pPr>
        <w:pStyle w:val="934"/>
        <w:ind w:firstLine="720"/>
        <w:jc w:val="both"/>
        <w:spacing w:line="276" w:lineRule="auto"/>
        <w:shd w:val="clear" w:color="auto" w:fill="ffffff"/>
        <w:rPr>
          <w:sz w:val="24"/>
          <w:szCs w:val="24"/>
        </w:rPr>
      </w:pPr>
      <w:r>
        <w:rPr>
          <w:sz w:val="24"/>
          <w:szCs w:val="24"/>
        </w:rPr>
        <w:t xml:space="preserve">10</w:t>
      </w:r>
      <w:r>
        <w:rPr>
          <w:sz w:val="24"/>
          <w:szCs w:val="24"/>
        </w:rPr>
        <w:t xml:space="preserve"> обучающихся </w:t>
      </w:r>
      <w:r>
        <w:rPr>
          <w:sz w:val="24"/>
          <w:szCs w:val="24"/>
        </w:rPr>
        <w:t xml:space="preserve">общеобразовательных </w:t>
      </w:r>
      <w:r>
        <w:rPr>
          <w:sz w:val="24"/>
          <w:szCs w:val="24"/>
        </w:rPr>
        <w:t xml:space="preserve">учреждений</w:t>
      </w:r>
      <w:r>
        <w:rPr>
          <w:sz w:val="24"/>
          <w:szCs w:val="24"/>
        </w:rPr>
        <w:t xml:space="preserve"> Белоярского района</w:t>
      </w:r>
      <w:r>
        <w:rPr>
          <w:sz w:val="24"/>
          <w:szCs w:val="24"/>
        </w:rPr>
        <w:t xml:space="preserve"> стали</w:t>
      </w:r>
      <w:r>
        <w:rPr>
          <w:sz w:val="24"/>
          <w:szCs w:val="24"/>
        </w:rPr>
        <w:t xml:space="preserve"> победителями и призерами регионального этапа всероссийской олимпиады школьников в Ханты-Мансийском автономном округе – Югре в 2023 – 2024 учебном году.</w:t>
      </w:r>
      <w:r>
        <w:rPr>
          <w:sz w:val="24"/>
          <w:szCs w:val="24"/>
        </w:rPr>
      </w:r>
      <w:r>
        <w:rPr>
          <w:sz w:val="24"/>
          <w:szCs w:val="24"/>
        </w:rPr>
      </w:r>
    </w:p>
    <w:p>
      <w:pPr>
        <w:pStyle w:val="934"/>
        <w:ind w:firstLine="720"/>
        <w:jc w:val="both"/>
        <w:spacing w:line="276" w:lineRule="auto"/>
        <w:shd w:val="clear" w:color="auto" w:fill="ffffff"/>
        <w:rPr>
          <w:sz w:val="24"/>
          <w:szCs w:val="24"/>
        </w:rPr>
      </w:pPr>
      <w:r>
        <w:rPr>
          <w:sz w:val="24"/>
          <w:szCs w:val="24"/>
        </w:rPr>
        <w:t xml:space="preserve">По итогам государственной итоговой аттестации в школах района 38 выпускников стали медалистами. Из них 18 учащихся получили медали 1 степени (золотая), 20 выпускников получили медали 2 степени (серебряная) и 10 выпускников награждены медалью </w:t>
      </w:r>
      <w:r>
        <w:rPr>
          <w:sz w:val="24"/>
          <w:szCs w:val="24"/>
        </w:rPr>
        <w:t xml:space="preserve">Ханты-Мансийского автономного округа - Югры</w:t>
      </w:r>
      <w:r>
        <w:rPr>
          <w:sz w:val="24"/>
          <w:szCs w:val="24"/>
        </w:rPr>
        <w:t xml:space="preserve"> «За особые успехи в обучении».</w:t>
      </w:r>
      <w:r>
        <w:rPr>
          <w:sz w:val="24"/>
          <w:szCs w:val="24"/>
        </w:rPr>
      </w:r>
      <w:r>
        <w:rPr>
          <w:sz w:val="24"/>
          <w:szCs w:val="24"/>
        </w:rPr>
      </w:r>
    </w:p>
    <w:p>
      <w:pPr>
        <w:pStyle w:val="934"/>
        <w:ind w:firstLine="720"/>
        <w:jc w:val="both"/>
        <w:spacing w:line="276" w:lineRule="auto"/>
        <w:shd w:val="clear" w:color="auto" w:fill="ffffff"/>
        <w:rPr>
          <w:sz w:val="24"/>
          <w:szCs w:val="24"/>
        </w:rPr>
      </w:pPr>
      <w:r>
        <w:rPr>
          <w:sz w:val="24"/>
          <w:szCs w:val="24"/>
        </w:rPr>
        <w:t xml:space="preserve">Решением </w:t>
      </w:r>
      <w:r>
        <w:rPr>
          <w:sz w:val="24"/>
          <w:szCs w:val="24"/>
        </w:rPr>
        <w:t xml:space="preserve">общества с ограниченной ответственностью</w:t>
      </w:r>
      <w:r>
        <w:rPr>
          <w:sz w:val="24"/>
          <w:szCs w:val="24"/>
        </w:rPr>
        <w:t xml:space="preserve"> «ЛУКОЙЛ-Западная Сибирь» с целью оказания социальной поддер</w:t>
      </w:r>
      <w:r>
        <w:rPr>
          <w:sz w:val="24"/>
          <w:szCs w:val="24"/>
        </w:rPr>
        <w:t xml:space="preserve">жки особо одаренным учащимся общеобразовательных учреждений за отличную учебу и примерное поведение, достижение значительных результатов в олимпиадах, смотрах и конкурсах присуждено 33 именных премии учащимся общеобразовательных учреждений в г. Белоярский.</w:t>
      </w:r>
      <w:r>
        <w:rPr>
          <w:sz w:val="24"/>
          <w:szCs w:val="24"/>
        </w:rPr>
      </w:r>
      <w:r>
        <w:rPr>
          <w:sz w:val="24"/>
          <w:szCs w:val="24"/>
        </w:rPr>
      </w:r>
    </w:p>
    <w:p>
      <w:pPr>
        <w:pStyle w:val="934"/>
        <w:ind w:firstLine="720"/>
        <w:jc w:val="both"/>
        <w:spacing w:line="276" w:lineRule="auto"/>
        <w:shd w:val="clear" w:color="auto" w:fill="ffffff"/>
        <w:rPr>
          <w:sz w:val="24"/>
          <w:szCs w:val="24"/>
        </w:rPr>
      </w:pPr>
      <w:r>
        <w:rPr>
          <w:sz w:val="24"/>
          <w:szCs w:val="24"/>
        </w:rPr>
        <w:t xml:space="preserve">На</w:t>
      </w:r>
      <w:r>
        <w:rPr>
          <w:sz w:val="24"/>
          <w:szCs w:val="24"/>
        </w:rPr>
        <w:t xml:space="preserve"> базе </w:t>
      </w:r>
      <w:r>
        <w:rPr>
          <w:sz w:val="24"/>
          <w:szCs w:val="24"/>
        </w:rPr>
        <w:t xml:space="preserve">школы</w:t>
      </w:r>
      <w:r>
        <w:rPr>
          <w:sz w:val="24"/>
          <w:szCs w:val="24"/>
        </w:rPr>
        <w:t xml:space="preserve"> №4 г. Белоярский </w:t>
      </w:r>
      <w:r>
        <w:rPr>
          <w:sz w:val="24"/>
          <w:szCs w:val="24"/>
        </w:rPr>
        <w:t xml:space="preserve">в сентябре 2023 </w:t>
      </w:r>
      <w:r>
        <w:rPr>
          <w:sz w:val="24"/>
          <w:szCs w:val="24"/>
        </w:rPr>
        <w:t xml:space="preserve">года </w:t>
      </w:r>
      <w:r>
        <w:rPr>
          <w:sz w:val="24"/>
          <w:szCs w:val="24"/>
        </w:rPr>
        <w:t xml:space="preserve">открыт «Лукойл-класс». Основными задачами создания данного профиля обучения стали профессиональное ориентирование обучающихся в направлении выбора будущей профессии. Обучение предполагает углубленное изучение физики и химии. Инициаторами проекта выступили </w:t>
      </w:r>
      <w:r>
        <w:rPr>
          <w:sz w:val="24"/>
          <w:szCs w:val="24"/>
        </w:rPr>
        <w:t xml:space="preserve">территориально-производственное предприятие</w:t>
      </w:r>
      <w:r>
        <w:rPr>
          <w:sz w:val="24"/>
          <w:szCs w:val="24"/>
        </w:rPr>
        <w:t xml:space="preserve"> «Белоярскнефтегаз» </w:t>
      </w:r>
      <w:r>
        <w:rPr>
          <w:sz w:val="24"/>
          <w:szCs w:val="24"/>
        </w:rPr>
        <w:t xml:space="preserve">общества с ограниченной ответственностью</w:t>
      </w:r>
      <w:r>
        <w:rPr>
          <w:sz w:val="24"/>
          <w:szCs w:val="24"/>
        </w:rPr>
        <w:t xml:space="preserve"> «ЛУКОЙЛ-Западная Сибирь», которые и стали шефами школы.</w:t>
      </w:r>
      <w:r>
        <w:rPr>
          <w:sz w:val="24"/>
          <w:szCs w:val="24"/>
        </w:rPr>
        <w:t xml:space="preserve"> </w:t>
      </w:r>
      <w:r>
        <w:rPr>
          <w:sz w:val="24"/>
          <w:szCs w:val="24"/>
        </w:rPr>
      </w:r>
      <w:r>
        <w:rPr>
          <w:sz w:val="24"/>
          <w:szCs w:val="24"/>
        </w:rPr>
      </w:r>
    </w:p>
    <w:p>
      <w:pPr>
        <w:pStyle w:val="934"/>
        <w:ind w:firstLine="720"/>
        <w:jc w:val="both"/>
        <w:spacing w:line="276" w:lineRule="auto"/>
        <w:shd w:val="clear" w:color="auto" w:fill="ffffff"/>
        <w:rPr>
          <w:sz w:val="24"/>
          <w:szCs w:val="24"/>
        </w:rPr>
      </w:pPr>
      <w:r>
        <w:rPr>
          <w:sz w:val="24"/>
          <w:szCs w:val="24"/>
        </w:rPr>
        <w:t xml:space="preserve">С апреля 2024 года </w:t>
      </w:r>
      <w:r>
        <w:rPr>
          <w:sz w:val="24"/>
          <w:szCs w:val="24"/>
        </w:rPr>
        <w:t xml:space="preserve">МАОУ</w:t>
      </w:r>
      <w:r>
        <w:rPr>
          <w:sz w:val="24"/>
          <w:szCs w:val="24"/>
        </w:rPr>
        <w:t xml:space="preserve"> Белоярского района </w:t>
      </w:r>
      <w:r>
        <w:rPr>
          <w:sz w:val="24"/>
          <w:szCs w:val="24"/>
        </w:rPr>
        <w:t xml:space="preserve">«Средняя общеобразовательная школа № 2 г. Белоярский»</w:t>
      </w:r>
      <w:r>
        <w:rPr>
          <w:sz w:val="24"/>
          <w:szCs w:val="24"/>
        </w:rPr>
        <w:t xml:space="preserve"> вошла в список десяти пилотных общеобразовательных организаций </w:t>
      </w:r>
      <w:r>
        <w:rPr>
          <w:sz w:val="24"/>
          <w:szCs w:val="24"/>
        </w:rPr>
        <w:t xml:space="preserve">Ханты-Мансийского автономного округа - Югры</w:t>
      </w:r>
      <w:r>
        <w:rPr>
          <w:sz w:val="24"/>
          <w:szCs w:val="24"/>
        </w:rPr>
        <w:t xml:space="preserve">, на базе которых будет апробировать</w:t>
      </w:r>
      <w:r>
        <w:rPr>
          <w:sz w:val="24"/>
          <w:szCs w:val="24"/>
        </w:rPr>
        <w:t xml:space="preserve">ся модель инклюзивной школы и критериев оценки ее деятельности. Миссия модели – создание благоприятных условий для развития обучающихся с ограниченными возможностями, поддержки одаренных детей, обучающихся, принадлежащих к коренным и малочисленным народам.</w:t>
      </w:r>
      <w:r>
        <w:rPr>
          <w:sz w:val="24"/>
          <w:szCs w:val="24"/>
        </w:rPr>
      </w:r>
      <w:r>
        <w:rPr>
          <w:sz w:val="24"/>
          <w:szCs w:val="24"/>
        </w:rPr>
      </w:r>
    </w:p>
    <w:p>
      <w:pPr>
        <w:pStyle w:val="934"/>
        <w:ind w:firstLine="709"/>
        <w:jc w:val="both"/>
        <w:spacing w:line="276" w:lineRule="auto"/>
        <w:rPr>
          <w:sz w:val="24"/>
          <w:szCs w:val="24"/>
        </w:rPr>
      </w:pPr>
      <w:r>
        <w:rPr>
          <w:sz w:val="24"/>
          <w:szCs w:val="24"/>
        </w:rPr>
        <w:t xml:space="preserve">В сентябре 2024 года в </w:t>
      </w:r>
      <w:r>
        <w:rPr>
          <w:sz w:val="24"/>
          <w:szCs w:val="24"/>
        </w:rPr>
        <w:t xml:space="preserve">МАОУ</w:t>
      </w:r>
      <w:r>
        <w:rPr>
          <w:sz w:val="24"/>
          <w:szCs w:val="24"/>
        </w:rPr>
        <w:t xml:space="preserve"> Белоярского района «Средняя общеобразовательная школа № 1 г. Белоярский» открыт шестой в районе</w:t>
      </w:r>
      <w:r>
        <w:rPr>
          <w:sz w:val="24"/>
          <w:szCs w:val="24"/>
        </w:rPr>
        <w:t xml:space="preserve"> </w:t>
      </w:r>
      <w:r>
        <w:rPr>
          <w:sz w:val="24"/>
          <w:szCs w:val="24"/>
        </w:rPr>
        <w:t xml:space="preserve">Центр</w:t>
      </w:r>
      <w:r>
        <w:rPr>
          <w:sz w:val="24"/>
          <w:szCs w:val="24"/>
        </w:rPr>
        <w:t xml:space="preserve"> </w:t>
      </w:r>
      <w:r>
        <w:rPr>
          <w:sz w:val="24"/>
          <w:szCs w:val="24"/>
        </w:rPr>
        <w:t xml:space="preserve">образования </w:t>
      </w:r>
      <w:r>
        <w:rPr>
          <w:sz w:val="24"/>
          <w:szCs w:val="24"/>
        </w:rPr>
        <w:t xml:space="preserve">естественно</w:t>
      </w:r>
      <w:r>
        <w:rPr>
          <w:sz w:val="24"/>
          <w:szCs w:val="24"/>
        </w:rPr>
        <w:t xml:space="preserve">-научной и технологической</w:t>
      </w:r>
      <w:r>
        <w:rPr>
          <w:sz w:val="24"/>
          <w:szCs w:val="24"/>
        </w:rPr>
        <w:t xml:space="preserve"> </w:t>
      </w:r>
      <w:r>
        <w:rPr>
          <w:sz w:val="24"/>
          <w:szCs w:val="24"/>
        </w:rPr>
        <w:t xml:space="preserve">направленности</w:t>
      </w:r>
      <w:r>
        <w:rPr>
          <w:sz w:val="24"/>
          <w:szCs w:val="24"/>
        </w:rPr>
        <w:t xml:space="preserve"> «Точка роста». Центры открыты в рамках федерального проекта «Современная школа» национального проекта «Обр</w:t>
      </w:r>
      <w:r>
        <w:rPr>
          <w:sz w:val="24"/>
          <w:szCs w:val="24"/>
        </w:rPr>
        <w:t xml:space="preserve">азование», они </w:t>
      </w:r>
      <w:r>
        <w:rPr>
          <w:sz w:val="24"/>
          <w:szCs w:val="24"/>
        </w:rPr>
        <w:t xml:space="preserve">несут функцию общественного пространства для развития общекультурных ценностей, цифровой грамотности, шахматного образования, проектной деятельности, творческой социальной самореализации детей, педагогов, роди</w:t>
      </w:r>
      <w:r>
        <w:rPr>
          <w:sz w:val="24"/>
          <w:szCs w:val="24"/>
        </w:rPr>
        <w:t xml:space="preserve">тельской общественности и должны</w:t>
      </w:r>
      <w:r>
        <w:rPr>
          <w:sz w:val="24"/>
          <w:szCs w:val="24"/>
        </w:rPr>
        <w:t xml:space="preserve"> обеспечить формирование современных компетенций и навыков у школьников. </w:t>
      </w:r>
      <w:r>
        <w:rPr>
          <w:sz w:val="24"/>
          <w:szCs w:val="24"/>
        </w:rPr>
      </w:r>
      <w:r>
        <w:rPr>
          <w:sz w:val="24"/>
          <w:szCs w:val="24"/>
        </w:rPr>
      </w:r>
    </w:p>
    <w:p>
      <w:pPr>
        <w:pStyle w:val="934"/>
        <w:ind w:firstLine="709"/>
        <w:jc w:val="both"/>
        <w:spacing w:line="276" w:lineRule="auto"/>
        <w:rPr>
          <w:sz w:val="24"/>
          <w:szCs w:val="24"/>
        </w:rPr>
      </w:pPr>
      <w:r>
        <w:rPr>
          <w:sz w:val="24"/>
          <w:szCs w:val="24"/>
        </w:rPr>
        <w:t xml:space="preserve">По итогам первого регионального Конкурса «Лучший Центр образования «Точка роста» Югры – 2024» Центр образования естественно</w:t>
      </w:r>
      <w:r>
        <w:rPr>
          <w:sz w:val="24"/>
          <w:szCs w:val="24"/>
        </w:rPr>
        <w:t xml:space="preserve">-</w:t>
      </w:r>
      <w:r>
        <w:rPr>
          <w:sz w:val="24"/>
          <w:szCs w:val="24"/>
        </w:rPr>
        <w:t xml:space="preserve">научной и технологической направленности «Точка Роста», созданный на базе </w:t>
      </w:r>
      <w:r>
        <w:rPr>
          <w:sz w:val="24"/>
          <w:szCs w:val="24"/>
        </w:rPr>
        <w:t xml:space="preserve">МАОУ</w:t>
      </w:r>
      <w:r>
        <w:rPr>
          <w:sz w:val="24"/>
          <w:szCs w:val="24"/>
        </w:rPr>
        <w:t xml:space="preserve"> Белоярского района</w:t>
      </w:r>
      <w:r>
        <w:rPr>
          <w:sz w:val="24"/>
          <w:szCs w:val="24"/>
        </w:rPr>
        <w:t xml:space="preserve"> </w:t>
      </w:r>
      <w:r>
        <w:rPr>
          <w:sz w:val="24"/>
          <w:szCs w:val="24"/>
        </w:rPr>
        <w:t xml:space="preserve">«Средняя общеобразовательная школа п. Сосновка»</w:t>
      </w:r>
      <w:r>
        <w:rPr>
          <w:sz w:val="24"/>
          <w:szCs w:val="24"/>
        </w:rPr>
        <w:t xml:space="preserve">, занял 2 место.</w:t>
      </w:r>
      <w:r>
        <w:rPr>
          <w:sz w:val="24"/>
          <w:szCs w:val="24"/>
        </w:rPr>
      </w:r>
      <w:r>
        <w:rPr>
          <w:sz w:val="24"/>
          <w:szCs w:val="24"/>
        </w:rPr>
      </w:r>
    </w:p>
    <w:p>
      <w:pPr>
        <w:pStyle w:val="934"/>
        <w:ind w:firstLine="709"/>
        <w:jc w:val="both"/>
        <w:spacing w:line="276" w:lineRule="auto"/>
        <w:rPr>
          <w:sz w:val="24"/>
          <w:szCs w:val="24"/>
        </w:rPr>
      </w:pPr>
      <w:r>
        <w:rPr>
          <w:sz w:val="24"/>
          <w:szCs w:val="24"/>
        </w:rPr>
        <w:t xml:space="preserve">В г. Белоярский продолжает работать</w:t>
      </w:r>
      <w:r>
        <w:rPr>
          <w:sz w:val="24"/>
          <w:szCs w:val="24"/>
        </w:rPr>
        <w:t xml:space="preserve"> Межшкольн</w:t>
      </w:r>
      <w:r>
        <w:rPr>
          <w:sz w:val="24"/>
          <w:szCs w:val="24"/>
        </w:rPr>
        <w:t xml:space="preserve">ый технопарк</w:t>
      </w:r>
      <w:r>
        <w:rPr>
          <w:sz w:val="24"/>
          <w:szCs w:val="24"/>
        </w:rPr>
        <w:t xml:space="preserve">, что позволяет использовать потенциал систем</w:t>
      </w:r>
      <w:r>
        <w:rPr>
          <w:sz w:val="24"/>
          <w:szCs w:val="24"/>
        </w:rPr>
        <w:t xml:space="preserve">ы</w:t>
      </w:r>
      <w:r>
        <w:rPr>
          <w:sz w:val="24"/>
          <w:szCs w:val="24"/>
        </w:rPr>
        <w:t xml:space="preserve"> дополнительного образования детей в решении задач адаптации детей к темпам социальных и технологических перемен.</w:t>
      </w:r>
      <w:r>
        <w:rPr>
          <w:sz w:val="24"/>
          <w:szCs w:val="24"/>
        </w:rPr>
      </w:r>
      <w:r>
        <w:rPr>
          <w:sz w:val="24"/>
          <w:szCs w:val="24"/>
        </w:rPr>
      </w:r>
    </w:p>
    <w:p>
      <w:pPr>
        <w:pStyle w:val="934"/>
        <w:ind w:firstLine="720"/>
        <w:jc w:val="both"/>
        <w:spacing w:line="300" w:lineRule="auto"/>
        <w:rPr>
          <w:bCs/>
          <w:sz w:val="24"/>
          <w:szCs w:val="24"/>
        </w:rPr>
      </w:pPr>
      <w:r>
        <w:rPr>
          <w:bCs/>
          <w:sz w:val="24"/>
          <w:szCs w:val="24"/>
        </w:rPr>
        <w:t xml:space="preserve">В структуру подведомственных внешкольных учреждений входит муниципальное автономное учреждение дополнительного образования Белоярского района «Дворец детского (юношеского) творчества г. Белоярский» (далее – ДДЮТ г. Белоярский). </w:t>
      </w:r>
      <w:r>
        <w:rPr>
          <w:bCs/>
          <w:sz w:val="24"/>
          <w:szCs w:val="24"/>
        </w:rPr>
      </w:r>
      <w:r>
        <w:rPr>
          <w:bCs/>
          <w:sz w:val="24"/>
          <w:szCs w:val="24"/>
        </w:rPr>
      </w:r>
    </w:p>
    <w:p>
      <w:pPr>
        <w:pStyle w:val="934"/>
        <w:ind w:firstLine="720"/>
        <w:jc w:val="both"/>
        <w:spacing w:line="300" w:lineRule="auto"/>
        <w:rPr>
          <w:bCs/>
          <w:sz w:val="24"/>
          <w:szCs w:val="24"/>
        </w:rPr>
      </w:pPr>
      <w:r>
        <w:rPr>
          <w:bCs/>
          <w:sz w:val="24"/>
          <w:szCs w:val="24"/>
        </w:rPr>
        <w:t xml:space="preserve">С 2023 года Белоярский район участвует в апробации социального заказа по направлению деятельности «реализация дополнительных общеразвивающих программ для детей». В а</w:t>
      </w:r>
      <w:r>
        <w:rPr>
          <w:bCs/>
          <w:sz w:val="24"/>
          <w:szCs w:val="24"/>
        </w:rPr>
        <w:t xml:space="preserve">пробацию вовлечены ДДЮТ, муниципальное бюджетное учреждение дополнительного образования Белоярского района «Спортивная школа г. Белоярский», муниципальное автономное образовательное учреждение дополнительного образования в области культуры Белоярского райо</w:t>
      </w:r>
      <w:r>
        <w:rPr>
          <w:bCs/>
          <w:sz w:val="24"/>
          <w:szCs w:val="24"/>
        </w:rPr>
        <w:t xml:space="preserve">на «Детская школа искусств г. Белоярский», 2 индивидуальных предпринимателя (Логинова И.В. и Галимов Р.А.) и Автономная некоммерческая организация Военно-спортивный клуб «Крылатая гвардия». В настоящее время социальным сертификатом обеспечены 2 506 детей. </w:t>
      </w:r>
      <w:r>
        <w:rPr>
          <w:bCs/>
          <w:sz w:val="24"/>
          <w:szCs w:val="24"/>
        </w:rPr>
      </w:r>
      <w:r>
        <w:rPr>
          <w:bCs/>
          <w:sz w:val="24"/>
          <w:szCs w:val="24"/>
        </w:rPr>
      </w:r>
    </w:p>
    <w:p>
      <w:pPr>
        <w:pStyle w:val="934"/>
        <w:ind w:firstLine="720"/>
        <w:jc w:val="both"/>
        <w:spacing w:line="276" w:lineRule="auto"/>
        <w:rPr>
          <w:bCs/>
          <w:sz w:val="24"/>
          <w:szCs w:val="24"/>
        </w:rPr>
      </w:pPr>
      <w:r>
        <w:rPr>
          <w:bCs/>
          <w:sz w:val="24"/>
          <w:szCs w:val="24"/>
        </w:rPr>
        <w:t xml:space="preserve">В рамках реализации Указа Президента Российской Федерации «О мерах по реализации государственной социальной политики» от 7 мая 2012 года № 597 среднемесячная заработная плата за </w:t>
      </w:r>
      <w:r>
        <w:rPr>
          <w:bCs/>
          <w:sz w:val="24"/>
          <w:szCs w:val="24"/>
        </w:rPr>
        <w:t xml:space="preserve">2024 год</w:t>
      </w:r>
      <w:r>
        <w:rPr>
          <w:bCs/>
          <w:sz w:val="24"/>
          <w:szCs w:val="24"/>
        </w:rPr>
        <w:t xml:space="preserve"> составила:</w:t>
      </w:r>
      <w:r>
        <w:rPr>
          <w:bCs/>
          <w:sz w:val="24"/>
          <w:szCs w:val="24"/>
        </w:rPr>
      </w:r>
      <w:r>
        <w:rPr>
          <w:bCs/>
          <w:sz w:val="24"/>
          <w:szCs w:val="24"/>
        </w:rPr>
      </w:r>
    </w:p>
    <w:p>
      <w:pPr>
        <w:pStyle w:val="934"/>
        <w:ind w:firstLine="720"/>
        <w:jc w:val="both"/>
        <w:spacing w:line="276" w:lineRule="auto"/>
        <w:rPr>
          <w:bCs/>
          <w:sz w:val="24"/>
          <w:szCs w:val="24"/>
        </w:rPr>
      </w:pPr>
      <w:r>
        <w:rPr>
          <w:bCs/>
          <w:sz w:val="24"/>
          <w:szCs w:val="24"/>
        </w:rPr>
        <w:t xml:space="preserve">- педагогические работники образовательных учреждений общего образования – </w:t>
      </w:r>
      <w:r>
        <w:rPr>
          <w:bCs/>
          <w:sz w:val="24"/>
          <w:szCs w:val="24"/>
        </w:rPr>
        <w:t xml:space="preserve">112 717,7</w:t>
      </w:r>
      <w:r>
        <w:rPr>
          <w:bCs/>
          <w:sz w:val="24"/>
          <w:szCs w:val="24"/>
        </w:rPr>
        <w:t xml:space="preserve"> руб.;</w:t>
      </w:r>
      <w:r>
        <w:rPr>
          <w:bCs/>
          <w:sz w:val="24"/>
          <w:szCs w:val="24"/>
        </w:rPr>
      </w:r>
      <w:r>
        <w:rPr>
          <w:bCs/>
          <w:sz w:val="24"/>
          <w:szCs w:val="24"/>
        </w:rPr>
      </w:r>
    </w:p>
    <w:p>
      <w:pPr>
        <w:pStyle w:val="934"/>
        <w:ind w:firstLine="720"/>
        <w:jc w:val="both"/>
        <w:spacing w:line="276" w:lineRule="auto"/>
        <w:rPr>
          <w:bCs/>
          <w:sz w:val="24"/>
          <w:szCs w:val="24"/>
        </w:rPr>
      </w:pPr>
      <w:r>
        <w:rPr>
          <w:bCs/>
          <w:sz w:val="24"/>
          <w:szCs w:val="24"/>
        </w:rPr>
        <w:t xml:space="preserve">- педагогические работники дошкольных образовательных учреждений –      </w:t>
      </w:r>
      <w:r>
        <w:rPr>
          <w:bCs/>
          <w:sz w:val="24"/>
          <w:szCs w:val="24"/>
        </w:rPr>
        <w:t xml:space="preserve">94 282,7</w:t>
      </w:r>
      <w:r>
        <w:rPr>
          <w:bCs/>
          <w:sz w:val="24"/>
          <w:szCs w:val="24"/>
        </w:rPr>
        <w:t xml:space="preserve"> руб.</w:t>
      </w:r>
      <w:r>
        <w:rPr>
          <w:bCs/>
          <w:sz w:val="24"/>
          <w:szCs w:val="24"/>
        </w:rPr>
        <w:t xml:space="preserve">;</w:t>
      </w:r>
      <w:r>
        <w:rPr>
          <w:bCs/>
          <w:sz w:val="24"/>
          <w:szCs w:val="24"/>
        </w:rPr>
      </w:r>
      <w:r>
        <w:rPr>
          <w:bCs/>
          <w:sz w:val="24"/>
          <w:szCs w:val="24"/>
        </w:rPr>
      </w:r>
    </w:p>
    <w:p>
      <w:pPr>
        <w:pStyle w:val="934"/>
        <w:ind w:firstLine="720"/>
        <w:jc w:val="both"/>
        <w:spacing w:line="276" w:lineRule="auto"/>
        <w:rPr>
          <w:bCs/>
          <w:sz w:val="24"/>
          <w:szCs w:val="24"/>
        </w:rPr>
      </w:pPr>
      <w:r>
        <w:rPr>
          <w:bCs/>
          <w:sz w:val="24"/>
          <w:szCs w:val="24"/>
        </w:rPr>
        <w:t xml:space="preserve">- педагогические работники учреждений дополнительного образования в сфере образования – </w:t>
      </w:r>
      <w:r>
        <w:rPr>
          <w:bCs/>
          <w:sz w:val="24"/>
          <w:szCs w:val="24"/>
        </w:rPr>
        <w:t xml:space="preserve">113 698,2 </w:t>
      </w:r>
      <w:r>
        <w:rPr>
          <w:bCs/>
          <w:sz w:val="24"/>
          <w:szCs w:val="24"/>
        </w:rPr>
        <w:t xml:space="preserve">руб.</w:t>
      </w:r>
      <w:r>
        <w:rPr>
          <w:bCs/>
          <w:sz w:val="24"/>
          <w:szCs w:val="24"/>
        </w:rPr>
        <w:t xml:space="preserve">  </w:t>
      </w:r>
      <w:r>
        <w:rPr>
          <w:bCs/>
          <w:sz w:val="24"/>
          <w:szCs w:val="24"/>
        </w:rPr>
      </w:r>
      <w:r>
        <w:rPr>
          <w:bCs/>
          <w:sz w:val="24"/>
          <w:szCs w:val="24"/>
        </w:rPr>
      </w:r>
    </w:p>
    <w:p>
      <w:pPr>
        <w:pStyle w:val="934"/>
        <w:rPr>
          <w:color w:val="ff0000"/>
        </w:rPr>
      </w:pPr>
      <w:r>
        <w:rPr>
          <w:color w:val="ff0000"/>
        </w:rPr>
      </w:r>
      <w:r>
        <w:rPr>
          <w:color w:val="ff0000"/>
        </w:rPr>
      </w:r>
      <w:r>
        <w:rPr>
          <w:color w:val="ff0000"/>
        </w:rPr>
      </w:r>
    </w:p>
    <w:p>
      <w:pPr>
        <w:pStyle w:val="935"/>
        <w:spacing w:before="0" w:after="0" w:line="276" w:lineRule="auto"/>
        <w:rPr>
          <w:rFonts w:ascii="Times New Roman" w:hAnsi="Times New Roman" w:cs="Times New Roman"/>
          <w:i/>
          <w:sz w:val="24"/>
          <w:szCs w:val="24"/>
        </w:rPr>
      </w:pPr>
      <w:r>
        <w:rPr>
          <w:rFonts w:ascii="Times New Roman" w:hAnsi="Times New Roman" w:cs="Times New Roman"/>
          <w:i/>
          <w:sz w:val="24"/>
          <w:szCs w:val="24"/>
        </w:rPr>
        <w:t xml:space="preserve">Физическая культура и спорт</w:t>
      </w:r>
      <w:r>
        <w:rPr>
          <w:rFonts w:ascii="Times New Roman" w:hAnsi="Times New Roman" w:cs="Times New Roman"/>
          <w:i/>
          <w:sz w:val="24"/>
          <w:szCs w:val="24"/>
        </w:rPr>
      </w:r>
      <w:r>
        <w:rPr>
          <w:rFonts w:ascii="Times New Roman" w:hAnsi="Times New Roman" w:cs="Times New Roman"/>
          <w:i/>
          <w:sz w:val="24"/>
          <w:szCs w:val="24"/>
        </w:rPr>
      </w:r>
    </w:p>
    <w:p>
      <w:pPr>
        <w:pStyle w:val="934"/>
        <w:ind w:firstLine="709"/>
        <w:jc w:val="both"/>
        <w:spacing w:line="276" w:lineRule="auto"/>
        <w:rPr>
          <w:sz w:val="24"/>
          <w:szCs w:val="24"/>
        </w:rPr>
        <w:outlineLvl w:val="0"/>
      </w:pPr>
      <w:r>
        <w:rPr>
          <w:sz w:val="24"/>
          <w:szCs w:val="24"/>
        </w:rPr>
        <w:t xml:space="preserve">По состоянию на 1 </w:t>
      </w:r>
      <w:r>
        <w:rPr>
          <w:sz w:val="24"/>
          <w:szCs w:val="24"/>
        </w:rPr>
        <w:t xml:space="preserve">января</w:t>
      </w:r>
      <w:r>
        <w:rPr>
          <w:sz w:val="24"/>
          <w:szCs w:val="24"/>
        </w:rPr>
        <w:t xml:space="preserve"> 202</w:t>
      </w:r>
      <w:r>
        <w:rPr>
          <w:sz w:val="24"/>
          <w:szCs w:val="24"/>
        </w:rPr>
        <w:t xml:space="preserve">5</w:t>
      </w:r>
      <w:r>
        <w:rPr>
          <w:sz w:val="24"/>
          <w:szCs w:val="24"/>
        </w:rPr>
        <w:t xml:space="preserve"> года на</w:t>
      </w:r>
      <w:r>
        <w:rPr>
          <w:sz w:val="24"/>
          <w:szCs w:val="24"/>
        </w:rPr>
        <w:t xml:space="preserve"> территории</w:t>
      </w:r>
      <w:r>
        <w:rPr>
          <w:sz w:val="24"/>
          <w:szCs w:val="24"/>
        </w:rPr>
        <w:t xml:space="preserve"> Белоярского района функционирую</w:t>
      </w:r>
      <w:r>
        <w:rPr>
          <w:sz w:val="24"/>
          <w:szCs w:val="24"/>
        </w:rPr>
        <w:t xml:space="preserve">т 1</w:t>
      </w:r>
      <w:r>
        <w:rPr>
          <w:sz w:val="24"/>
          <w:szCs w:val="24"/>
        </w:rPr>
        <w:t xml:space="preserve">69</w:t>
      </w:r>
      <w:r>
        <w:rPr>
          <w:sz w:val="24"/>
          <w:szCs w:val="24"/>
        </w:rPr>
        <w:t xml:space="preserve"> спортивных</w:t>
      </w:r>
      <w:r>
        <w:rPr>
          <w:sz w:val="24"/>
          <w:szCs w:val="24"/>
        </w:rPr>
        <w:t xml:space="preserve"> объект</w:t>
      </w:r>
      <w:r>
        <w:rPr>
          <w:sz w:val="24"/>
          <w:szCs w:val="24"/>
        </w:rPr>
        <w:t xml:space="preserve">ов</w:t>
      </w:r>
      <w:r>
        <w:rPr>
          <w:sz w:val="24"/>
          <w:szCs w:val="24"/>
        </w:rPr>
        <w:t xml:space="preserve">, единовременн</w:t>
      </w:r>
      <w:r>
        <w:rPr>
          <w:sz w:val="24"/>
          <w:szCs w:val="24"/>
        </w:rPr>
        <w:t xml:space="preserve">ой</w:t>
      </w:r>
      <w:r>
        <w:rPr>
          <w:sz w:val="24"/>
          <w:szCs w:val="24"/>
        </w:rPr>
        <w:t xml:space="preserve"> пропускн</w:t>
      </w:r>
      <w:r>
        <w:rPr>
          <w:sz w:val="24"/>
          <w:szCs w:val="24"/>
        </w:rPr>
        <w:t xml:space="preserve">ой</w:t>
      </w:r>
      <w:r>
        <w:rPr>
          <w:sz w:val="24"/>
          <w:szCs w:val="24"/>
        </w:rPr>
        <w:t xml:space="preserve"> способность</w:t>
      </w:r>
      <w:r>
        <w:rPr>
          <w:sz w:val="24"/>
          <w:szCs w:val="24"/>
        </w:rPr>
        <w:t xml:space="preserve">ю</w:t>
      </w:r>
      <w:r>
        <w:rPr>
          <w:sz w:val="24"/>
          <w:szCs w:val="24"/>
        </w:rPr>
        <w:t xml:space="preserve"> </w:t>
      </w:r>
      <w:r>
        <w:rPr>
          <w:sz w:val="24"/>
          <w:szCs w:val="24"/>
        </w:rPr>
        <w:t xml:space="preserve">   </w:t>
      </w:r>
      <w:r>
        <w:rPr>
          <w:sz w:val="24"/>
          <w:szCs w:val="24"/>
        </w:rPr>
        <w:t xml:space="preserve">   3 </w:t>
      </w:r>
      <w:r>
        <w:rPr>
          <w:sz w:val="24"/>
          <w:szCs w:val="24"/>
        </w:rPr>
        <w:t xml:space="preserve">623</w:t>
      </w:r>
      <w:r>
        <w:rPr>
          <w:sz w:val="24"/>
          <w:szCs w:val="24"/>
        </w:rPr>
        <w:t xml:space="preserve"> человек</w:t>
      </w:r>
      <w:r>
        <w:rPr>
          <w:sz w:val="24"/>
          <w:szCs w:val="24"/>
        </w:rPr>
        <w:t xml:space="preserve">а</w:t>
      </w:r>
      <w:r>
        <w:rPr>
          <w:sz w:val="24"/>
          <w:szCs w:val="24"/>
        </w:rPr>
        <w:t xml:space="preserve">.</w:t>
      </w:r>
      <w:r>
        <w:rPr>
          <w:sz w:val="24"/>
          <w:szCs w:val="24"/>
        </w:rPr>
        <w:t xml:space="preserve"> </w:t>
      </w:r>
      <w:r>
        <w:rPr>
          <w:sz w:val="24"/>
          <w:szCs w:val="24"/>
        </w:rPr>
        <w:t xml:space="preserve"> </w:t>
      </w:r>
      <w:r>
        <w:rPr>
          <w:sz w:val="24"/>
          <w:szCs w:val="24"/>
        </w:rPr>
      </w:r>
      <w:r>
        <w:rPr>
          <w:sz w:val="24"/>
          <w:szCs w:val="24"/>
        </w:rPr>
      </w:r>
    </w:p>
    <w:p>
      <w:pPr>
        <w:pStyle w:val="934"/>
        <w:ind w:firstLine="720"/>
        <w:jc w:val="both"/>
        <w:spacing w:line="300" w:lineRule="auto"/>
        <w:rPr>
          <w:sz w:val="24"/>
          <w:szCs w:val="24"/>
        </w:rPr>
      </w:pPr>
      <w:r>
        <w:rPr>
          <w:sz w:val="24"/>
          <w:szCs w:val="24"/>
        </w:rPr>
        <w:t xml:space="preserve">В целях увеличения единовременной пропускной с</w:t>
      </w:r>
      <w:r>
        <w:rPr>
          <w:sz w:val="24"/>
          <w:szCs w:val="24"/>
        </w:rPr>
        <w:t xml:space="preserve">пособности объектов физической культуры и спорта в 2024 году введены в эксплуатацию 2 спортивно-игровые площадки в г. Белоярский (3 мкр. д. 5,1, 4 мкр. д. 19) и тренажерная площадка в с.п. Казым суммарной единовременной пропускной способностью 39 человек. </w:t>
      </w:r>
      <w:r>
        <w:rPr>
          <w:sz w:val="24"/>
          <w:szCs w:val="24"/>
        </w:rPr>
      </w:r>
      <w:r>
        <w:rPr>
          <w:sz w:val="24"/>
          <w:szCs w:val="24"/>
        </w:rPr>
      </w:r>
    </w:p>
    <w:p>
      <w:pPr>
        <w:pStyle w:val="934"/>
        <w:ind w:firstLine="720"/>
        <w:jc w:val="both"/>
        <w:spacing w:line="300" w:lineRule="auto"/>
        <w:rPr>
          <w:sz w:val="24"/>
          <w:szCs w:val="24"/>
        </w:rPr>
      </w:pPr>
      <w:r>
        <w:rPr>
          <w:sz w:val="24"/>
          <w:szCs w:val="24"/>
        </w:rPr>
        <w:t xml:space="preserve">Доля граждан, систематически занимающихся физической культурой и спортом, по состоянию на 1 января 2025 года составляет 73,8% от общей численности населения 3 – 79 лет (2023 год – 70,9%). </w:t>
      </w:r>
      <w:r>
        <w:rPr>
          <w:sz w:val="24"/>
          <w:szCs w:val="24"/>
        </w:rPr>
      </w:r>
      <w:r>
        <w:rPr>
          <w:sz w:val="24"/>
          <w:szCs w:val="24"/>
        </w:rPr>
      </w:r>
    </w:p>
    <w:p>
      <w:pPr>
        <w:pStyle w:val="934"/>
        <w:ind w:firstLine="720"/>
        <w:jc w:val="both"/>
        <w:spacing w:line="300" w:lineRule="auto"/>
        <w:rPr>
          <w:sz w:val="24"/>
          <w:szCs w:val="24"/>
        </w:rPr>
      </w:pPr>
      <w:r>
        <w:rPr>
          <w:sz w:val="24"/>
          <w:szCs w:val="24"/>
        </w:rPr>
        <w:t xml:space="preserve">Ежегодно на территории района проводится более 160 спортивных мероприятий, в которых принимают участие более 13 тысяч человек и 18 тысяч зрителей.</w:t>
      </w:r>
      <w:r>
        <w:rPr>
          <w:sz w:val="24"/>
          <w:szCs w:val="24"/>
        </w:rPr>
      </w:r>
      <w:r>
        <w:rPr>
          <w:sz w:val="24"/>
          <w:szCs w:val="24"/>
        </w:rPr>
      </w:r>
    </w:p>
    <w:p>
      <w:pPr>
        <w:pStyle w:val="934"/>
        <w:ind w:firstLine="720"/>
        <w:jc w:val="both"/>
        <w:spacing w:line="300" w:lineRule="auto"/>
        <w:rPr>
          <w:sz w:val="24"/>
          <w:szCs w:val="24"/>
        </w:rPr>
      </w:pPr>
      <w:r>
        <w:rPr>
          <w:sz w:val="24"/>
          <w:szCs w:val="24"/>
        </w:rPr>
        <w:t xml:space="preserve">31 марта 2024 года в г. Белоярский состоялось </w:t>
      </w:r>
      <w:r>
        <w:rPr>
          <w:sz w:val="24"/>
          <w:szCs w:val="24"/>
          <w:lang w:val="en-US"/>
        </w:rPr>
        <w:t xml:space="preserve">II</w:t>
      </w:r>
      <w:r>
        <w:rPr>
          <w:sz w:val="24"/>
          <w:szCs w:val="24"/>
        </w:rPr>
        <w:t xml:space="preserve"> региональное Перв</w:t>
      </w:r>
      <w:r>
        <w:rPr>
          <w:sz w:val="24"/>
          <w:szCs w:val="24"/>
        </w:rPr>
        <w:t xml:space="preserve">енство по тхэквондо МФТ «Силы Югры», в котором приняли участие более 130 спортсменов из 4 муниципалитетов. Воспитанники Белоярской школы тхэквондо завоевали 32 золотые, 42 серебряные и 74 бронзовые медали. Абсолютными чемпионами турнира стали 3 спортсмена.</w:t>
      </w:r>
      <w:r>
        <w:rPr>
          <w:sz w:val="24"/>
          <w:szCs w:val="24"/>
        </w:rPr>
      </w:r>
      <w:r>
        <w:rPr>
          <w:sz w:val="24"/>
          <w:szCs w:val="24"/>
        </w:rPr>
      </w:r>
    </w:p>
    <w:p>
      <w:pPr>
        <w:pStyle w:val="934"/>
        <w:ind w:firstLine="720"/>
        <w:jc w:val="both"/>
        <w:spacing w:line="300" w:lineRule="auto"/>
        <w:rPr>
          <w:sz w:val="24"/>
          <w:szCs w:val="24"/>
        </w:rPr>
      </w:pPr>
      <w:r>
        <w:rPr>
          <w:sz w:val="24"/>
          <w:szCs w:val="24"/>
        </w:rPr>
        <w:t xml:space="preserve">В рамках празднования Дня Белоярс</w:t>
      </w:r>
      <w:r>
        <w:rPr>
          <w:sz w:val="24"/>
          <w:szCs w:val="24"/>
        </w:rPr>
        <w:t xml:space="preserve">кого района в сентябре 2024 года состоялась матчевая встреча по тайскому боксу между сборными командами спортсменов Белоярского района и Югры. Программа встречи состояла из 10 боев по итогам которых команда Белоярского района одержала победу со счетом 7:3.</w:t>
      </w:r>
      <w:r>
        <w:rPr>
          <w:sz w:val="24"/>
          <w:szCs w:val="24"/>
        </w:rPr>
      </w:r>
      <w:r>
        <w:rPr>
          <w:sz w:val="24"/>
          <w:szCs w:val="24"/>
        </w:rPr>
      </w:r>
    </w:p>
    <w:p>
      <w:pPr>
        <w:pStyle w:val="934"/>
        <w:ind w:firstLine="720"/>
        <w:jc w:val="both"/>
        <w:spacing w:line="300" w:lineRule="auto"/>
        <w:rPr>
          <w:sz w:val="24"/>
          <w:szCs w:val="24"/>
        </w:rPr>
      </w:pPr>
      <w:r>
        <w:rPr>
          <w:sz w:val="24"/>
          <w:szCs w:val="24"/>
        </w:rPr>
        <w:t xml:space="preserve">В октябре отчетного года состоялись Первые Арктические игры Ханты-Мансийского автономно</w:t>
      </w:r>
      <w:r>
        <w:rPr>
          <w:sz w:val="24"/>
          <w:szCs w:val="24"/>
        </w:rPr>
        <w:t xml:space="preserve">го округа – Югры среди школьников. В соревнованиях по хоккею, футзалу, северному многоборью приняли участие более 200 спортсменов из 8 сборных команд Белоярского, Березовского, Кондинского, Октябрьского и Советского районов, городов Нягань, Югорск и Урай. </w:t>
      </w:r>
      <w:r>
        <w:rPr>
          <w:sz w:val="24"/>
          <w:szCs w:val="24"/>
        </w:rPr>
      </w:r>
      <w:r>
        <w:rPr>
          <w:sz w:val="24"/>
          <w:szCs w:val="24"/>
        </w:rPr>
      </w:r>
    </w:p>
    <w:p>
      <w:pPr>
        <w:pStyle w:val="934"/>
        <w:ind w:firstLine="720"/>
        <w:jc w:val="both"/>
        <w:spacing w:line="300" w:lineRule="auto"/>
        <w:rPr>
          <w:sz w:val="24"/>
          <w:szCs w:val="24"/>
        </w:rPr>
      </w:pPr>
      <w:r>
        <w:rPr>
          <w:sz w:val="24"/>
          <w:szCs w:val="24"/>
        </w:rPr>
        <w:t xml:space="preserve">Проведены мероприятия, напра</w:t>
      </w:r>
      <w:r>
        <w:rPr>
          <w:sz w:val="24"/>
          <w:szCs w:val="24"/>
        </w:rPr>
        <w:t xml:space="preserve">вленные на пропаганду здорового образа жизни и привлечение населения к систематическим занятиям физической культурой и спортом: Всероссийская массовая лыжная гонка «Лыжня России – 2024», Первенства и Чемпионаты Белоярского района по различным видам спорта,</w:t>
      </w:r>
      <w:r>
        <w:rPr>
          <w:sz w:val="24"/>
          <w:szCs w:val="24"/>
        </w:rPr>
        <w:t xml:space="preserve"> Всероссийский день бега «Кросс Нации – 2024»,</w:t>
      </w:r>
      <w:r>
        <w:rPr>
          <w:sz w:val="24"/>
          <w:szCs w:val="24"/>
        </w:rPr>
        <w:t xml:space="preserve"> Спартакиада среди трудовых коллективов Бе</w:t>
      </w:r>
      <w:r>
        <w:rPr>
          <w:sz w:val="24"/>
          <w:szCs w:val="24"/>
        </w:rPr>
        <w:t xml:space="preserve">лоярского района, спартакиада учащихся Белоярского района, фестиваль ВФСК ГТО, спартакиада пришкольных лагерей, Фри-Тренинг для всех групп населения.</w:t>
      </w:r>
      <w:r>
        <w:rPr>
          <w:sz w:val="24"/>
          <w:szCs w:val="24"/>
        </w:rPr>
      </w:r>
      <w:r>
        <w:rPr>
          <w:sz w:val="24"/>
          <w:szCs w:val="24"/>
        </w:rPr>
      </w:r>
    </w:p>
    <w:p>
      <w:pPr>
        <w:pStyle w:val="934"/>
        <w:jc w:val="both"/>
        <w:spacing w:line="276" w:lineRule="auto"/>
        <w:rPr>
          <w:b/>
          <w:i/>
          <w:sz w:val="24"/>
          <w:szCs w:val="24"/>
        </w:rPr>
      </w:pPr>
      <w:r>
        <w:rPr>
          <w:b/>
          <w:i/>
          <w:sz w:val="24"/>
          <w:szCs w:val="24"/>
        </w:rPr>
      </w:r>
      <w:r>
        <w:rPr>
          <w:b/>
          <w:i/>
          <w:sz w:val="24"/>
          <w:szCs w:val="24"/>
        </w:rPr>
      </w:r>
      <w:r>
        <w:rPr>
          <w:b/>
          <w:i/>
          <w:sz w:val="24"/>
          <w:szCs w:val="24"/>
        </w:rPr>
      </w:r>
    </w:p>
    <w:p>
      <w:pPr>
        <w:pStyle w:val="934"/>
        <w:jc w:val="both"/>
        <w:spacing w:line="276" w:lineRule="auto"/>
        <w:rPr>
          <w:b/>
          <w:i/>
          <w:sz w:val="24"/>
          <w:szCs w:val="24"/>
        </w:rPr>
      </w:pPr>
      <w:r>
        <w:rPr>
          <w:b/>
          <w:i/>
          <w:sz w:val="24"/>
          <w:szCs w:val="24"/>
        </w:rPr>
        <w:t xml:space="preserve">Молодежная политика</w:t>
      </w:r>
      <w:r>
        <w:rPr>
          <w:b/>
          <w:i/>
          <w:sz w:val="24"/>
          <w:szCs w:val="24"/>
        </w:rPr>
      </w:r>
      <w:r>
        <w:rPr>
          <w:b/>
          <w:i/>
          <w:sz w:val="24"/>
          <w:szCs w:val="24"/>
        </w:rPr>
      </w:r>
    </w:p>
    <w:p>
      <w:pPr>
        <w:pStyle w:val="934"/>
        <w:ind w:firstLine="720"/>
        <w:jc w:val="both"/>
        <w:spacing w:line="300" w:lineRule="auto"/>
        <w:rPr>
          <w:sz w:val="24"/>
          <w:szCs w:val="24"/>
        </w:rPr>
      </w:pPr>
      <w:r>
        <w:rPr>
          <w:sz w:val="24"/>
          <w:szCs w:val="24"/>
        </w:rPr>
        <w:t xml:space="preserve">На территории Белоярского района действуют 47 добровольческих (волонтерских) объединений, в которые вовлечены более 4 тысяч жителей района. Волонтеры оказывали помощь в доставке продуктов отдельным категориям граждан, участвовали в</w:t>
      </w:r>
      <w:r>
        <w:rPr>
          <w:sz w:val="24"/>
          <w:szCs w:val="24"/>
        </w:rPr>
        <w:t xml:space="preserve"> акциях гражданско-патриотической, экологической и культурной направленности. 33 волонтера Белоярского района в течение года принимали активное участие в гуманитарных миссиях на освобожденных территориях (работа в госпиталях, доставка гуманитарной помощи).</w:t>
      </w:r>
      <w:r>
        <w:rPr>
          <w:sz w:val="24"/>
          <w:szCs w:val="24"/>
        </w:rPr>
      </w:r>
      <w:r>
        <w:rPr>
          <w:sz w:val="24"/>
          <w:szCs w:val="24"/>
        </w:rPr>
      </w:r>
    </w:p>
    <w:p>
      <w:pPr>
        <w:pStyle w:val="934"/>
        <w:ind w:firstLine="720"/>
        <w:jc w:val="both"/>
        <w:spacing w:line="300" w:lineRule="auto"/>
        <w:rPr>
          <w:sz w:val="24"/>
          <w:szCs w:val="24"/>
        </w:rPr>
      </w:pPr>
      <w:r>
        <w:rPr>
          <w:sz w:val="24"/>
          <w:szCs w:val="24"/>
        </w:rPr>
        <w:t xml:space="preserve">В феврале 2024 года состоялось торжественное открытие структурного</w:t>
      </w:r>
      <w:r>
        <w:rPr>
          <w:sz w:val="24"/>
          <w:szCs w:val="24"/>
        </w:rPr>
        <w:t xml:space="preserve"> подразделения муниципального бюджетного учреждения Белоярского района «Многофункциональный молодежный центр «Спутник», в котором разместились, в том числе, специалисты муниципального отделения «Движение Первых» и Центр общественного развития «Добро.Центр»</w:t>
      </w:r>
      <w:r>
        <w:rPr>
          <w:sz w:val="24"/>
          <w:szCs w:val="24"/>
        </w:rPr>
        <w:t xml:space="preserve">. На сегодняшний день в Белоярском районе функционируют 15 первичных отделений Всероссийского движения детей и молодежи «Движение Первых», зарегистрированы 3 132 участника, реализовано 25 проектов (более 300 мероприятий), в которыми охвачено 2 500 человек.</w:t>
      </w:r>
      <w:r>
        <w:rPr>
          <w:sz w:val="24"/>
          <w:szCs w:val="24"/>
        </w:rPr>
      </w:r>
      <w:r>
        <w:rPr>
          <w:sz w:val="24"/>
          <w:szCs w:val="24"/>
        </w:rPr>
      </w:r>
    </w:p>
    <w:p>
      <w:pPr>
        <w:pStyle w:val="934"/>
        <w:ind w:firstLine="720"/>
        <w:jc w:val="both"/>
        <w:spacing w:line="300" w:lineRule="auto"/>
        <w:rPr>
          <w:sz w:val="24"/>
          <w:szCs w:val="24"/>
        </w:rPr>
      </w:pPr>
      <w:r>
        <w:rPr>
          <w:sz w:val="24"/>
          <w:szCs w:val="24"/>
        </w:rPr>
        <w:t xml:space="preserve">В течении года предприятиями и учреждениями, волонтерами, неравнодушными жителями района активно собиралась гуманитарная помощь для отправки военнослужащим и жителям освобожденных территорий. Всего в 2024 году было собрано 11,6 тонн гуманитарной помощи</w:t>
      </w:r>
      <w:r>
        <w:rPr>
          <w:sz w:val="24"/>
          <w:szCs w:val="24"/>
        </w:rPr>
        <w:t xml:space="preserve">, в том числе в зону специальной военной операции 7,33 тонны, жителям Донбасса и Курской обрасти 1,53 тонны, 134 Посылки солдату и 134 коробки добра (2,7 тонны), а также отправлены 18 автомобилей, купленные, в том числе, на личные средства жителей района. </w:t>
      </w:r>
      <w:r>
        <w:rPr>
          <w:sz w:val="24"/>
          <w:szCs w:val="24"/>
        </w:rPr>
      </w:r>
      <w:r>
        <w:rPr>
          <w:sz w:val="24"/>
          <w:szCs w:val="24"/>
        </w:rPr>
      </w:r>
    </w:p>
    <w:p>
      <w:pPr>
        <w:pStyle w:val="934"/>
        <w:ind w:firstLine="720"/>
        <w:jc w:val="both"/>
        <w:spacing w:line="300" w:lineRule="auto"/>
        <w:rPr>
          <w:sz w:val="24"/>
          <w:szCs w:val="24"/>
        </w:rPr>
      </w:pPr>
      <w:r>
        <w:rPr>
          <w:sz w:val="24"/>
          <w:szCs w:val="24"/>
        </w:rPr>
        <w:t xml:space="preserve">В мае 2024 года проведена межмуниципальная военизированная спартакиада «Искра», посвященная 79-ой годовщине со дня Победы в Великой Отечественной войне, в которой приняли участие более 100 человек Белоярского и Октябрьского районов.</w:t>
      </w:r>
      <w:r>
        <w:rPr>
          <w:sz w:val="24"/>
          <w:szCs w:val="24"/>
        </w:rPr>
      </w:r>
      <w:r>
        <w:rPr>
          <w:sz w:val="24"/>
          <w:szCs w:val="24"/>
        </w:rPr>
      </w:r>
    </w:p>
    <w:p>
      <w:pPr>
        <w:pStyle w:val="934"/>
        <w:ind w:firstLine="720"/>
        <w:jc w:val="both"/>
        <w:spacing w:line="300" w:lineRule="auto"/>
        <w:rPr>
          <w:sz w:val="24"/>
          <w:szCs w:val="24"/>
        </w:rPr>
      </w:pPr>
      <w:r>
        <w:rPr>
          <w:sz w:val="24"/>
          <w:szCs w:val="24"/>
        </w:rPr>
        <w:t xml:space="preserve">Студенты бюджетного учреждения професс</w:t>
      </w:r>
      <w:r>
        <w:rPr>
          <w:sz w:val="24"/>
          <w:szCs w:val="24"/>
        </w:rPr>
        <w:t xml:space="preserve">ионального обучения Ханты-Мансийского автономного округа - Югры «Белоярский политехнический колледж» принимают активное участие в волонтерской, спортивной и творческой деятельности. По итогам окружного конкурса «Студент года – 2024» среди профессиональных </w:t>
      </w:r>
      <w:r>
        <w:rPr>
          <w:sz w:val="24"/>
          <w:szCs w:val="24"/>
        </w:rPr>
        <w:t xml:space="preserve">образовательных учреждений студенты колледжа стали победителями в номинациях «Творческая личность года» (Чуков Руслан) и «Председатель совета обучающихся года» (Гладкова Мария). Оба студента являются получателями именных стипендий главы Белоярского района.</w:t>
      </w:r>
      <w:r>
        <w:rPr>
          <w:sz w:val="24"/>
          <w:szCs w:val="24"/>
        </w:rPr>
      </w:r>
      <w:r>
        <w:rPr>
          <w:sz w:val="24"/>
          <w:szCs w:val="24"/>
        </w:rPr>
      </w:r>
    </w:p>
    <w:p>
      <w:pPr>
        <w:pStyle w:val="934"/>
        <w:ind w:firstLine="709"/>
        <w:jc w:val="both"/>
        <w:spacing w:line="300" w:lineRule="auto"/>
        <w:rPr>
          <w:sz w:val="24"/>
          <w:szCs w:val="24"/>
        </w:rPr>
        <w:outlineLvl w:val="0"/>
      </w:pPr>
      <w:r>
        <w:rPr>
          <w:sz w:val="24"/>
          <w:szCs w:val="24"/>
        </w:rPr>
        <w:t xml:space="preserve">По итогам окружного конкурса «Лучшая организация отдыха и оздоровления Ханты-Мансийского автономного округа – Югры» </w:t>
      </w:r>
      <w:r>
        <w:rPr>
          <w:sz w:val="24"/>
          <w:szCs w:val="24"/>
        </w:rPr>
        <w:t xml:space="preserve">МБУ</w:t>
      </w:r>
      <w:r>
        <w:rPr>
          <w:sz w:val="24"/>
          <w:szCs w:val="24"/>
        </w:rPr>
        <w:t xml:space="preserve"> Белоярского района «Многофункциональный молодежный центр «Спутник» занял 1 место в номинации «Лучший лагерь труда и отдыха», </w:t>
      </w:r>
      <w:r>
        <w:rPr>
          <w:sz w:val="24"/>
          <w:szCs w:val="24"/>
        </w:rPr>
        <w:t xml:space="preserve">МАОУ</w:t>
      </w:r>
      <w:r>
        <w:rPr>
          <w:sz w:val="24"/>
          <w:szCs w:val="24"/>
        </w:rPr>
        <w:t xml:space="preserve"> Белоярского района «Средняя общеобразовательная школа №1 г. Белоярский» заняла 2 место в номинации «Лучший палаточный лагерь», </w:t>
      </w:r>
      <w:r>
        <w:rPr>
          <w:sz w:val="24"/>
          <w:szCs w:val="24"/>
        </w:rPr>
        <w:t xml:space="preserve">МАОУ</w:t>
      </w:r>
      <w:r>
        <w:rPr>
          <w:sz w:val="24"/>
          <w:szCs w:val="24"/>
        </w:rPr>
        <w:t xml:space="preserve"> Белоярского района «Средняя общеобразовательная школа с. Казым» заняла 2 место в номинации «Лучший лагерь с этнокультурным компонентом», а </w:t>
      </w:r>
      <w:r>
        <w:rPr>
          <w:sz w:val="24"/>
          <w:szCs w:val="24"/>
        </w:rPr>
        <w:t xml:space="preserve">МАУ</w:t>
      </w:r>
      <w:r>
        <w:rPr>
          <w:sz w:val="24"/>
          <w:szCs w:val="24"/>
        </w:rPr>
        <w:t xml:space="preserve"> Белоярского района «База спорта и отдыха «Северянка» заняла 3 место в номинации «Лучший загородный оздоровительный лагерь».</w:t>
      </w:r>
      <w:r>
        <w:rPr>
          <w:sz w:val="24"/>
          <w:szCs w:val="24"/>
        </w:rPr>
      </w:r>
      <w:r>
        <w:rPr>
          <w:sz w:val="24"/>
          <w:szCs w:val="24"/>
        </w:rPr>
      </w:r>
    </w:p>
    <w:p>
      <w:pPr>
        <w:pStyle w:val="934"/>
        <w:ind w:firstLine="720"/>
        <w:jc w:val="both"/>
        <w:spacing w:line="300" w:lineRule="auto"/>
        <w:rPr>
          <w:sz w:val="24"/>
          <w:szCs w:val="24"/>
        </w:rPr>
      </w:pPr>
      <w:r>
        <w:rPr>
          <w:sz w:val="24"/>
          <w:szCs w:val="24"/>
        </w:rPr>
      </w:r>
      <w:r>
        <w:rPr>
          <w:sz w:val="24"/>
          <w:szCs w:val="24"/>
        </w:rPr>
      </w:r>
      <w:r>
        <w:rPr>
          <w:sz w:val="24"/>
          <w:szCs w:val="24"/>
        </w:rPr>
      </w:r>
    </w:p>
    <w:p>
      <w:pPr>
        <w:pStyle w:val="934"/>
        <w:spacing w:line="276" w:lineRule="auto"/>
        <w:rPr>
          <w:b/>
          <w:i/>
          <w:color w:val="ff0000"/>
          <w:sz w:val="24"/>
          <w:szCs w:val="24"/>
        </w:rPr>
        <w:outlineLvl w:val="0"/>
      </w:pPr>
      <w:r>
        <w:rPr>
          <w:b/>
          <w:i/>
          <w:color w:val="ff0000"/>
          <w:sz w:val="24"/>
          <w:szCs w:val="24"/>
        </w:rPr>
      </w:r>
      <w:r>
        <w:rPr>
          <w:b/>
          <w:i/>
          <w:color w:val="ff0000"/>
          <w:sz w:val="24"/>
          <w:szCs w:val="24"/>
        </w:rPr>
      </w:r>
      <w:r>
        <w:rPr>
          <w:b/>
          <w:i/>
          <w:color w:val="ff0000"/>
          <w:sz w:val="24"/>
          <w:szCs w:val="24"/>
        </w:rPr>
      </w:r>
    </w:p>
    <w:p>
      <w:pPr>
        <w:pStyle w:val="934"/>
        <w:spacing w:line="276" w:lineRule="auto"/>
        <w:rPr>
          <w:b/>
          <w:i/>
          <w:sz w:val="24"/>
          <w:szCs w:val="24"/>
        </w:rPr>
        <w:outlineLvl w:val="0"/>
      </w:pPr>
      <w:r>
        <w:rPr>
          <w:b/>
          <w:i/>
          <w:sz w:val="24"/>
          <w:szCs w:val="24"/>
        </w:rPr>
        <w:t xml:space="preserve">Культура</w:t>
      </w:r>
      <w:r>
        <w:rPr>
          <w:b/>
          <w:i/>
          <w:sz w:val="24"/>
          <w:szCs w:val="24"/>
        </w:rPr>
      </w:r>
      <w:r>
        <w:rPr>
          <w:b/>
          <w:i/>
          <w:sz w:val="24"/>
          <w:szCs w:val="24"/>
        </w:rPr>
      </w:r>
    </w:p>
    <w:p>
      <w:pPr>
        <w:pStyle w:val="934"/>
        <w:ind w:firstLine="709"/>
        <w:jc w:val="both"/>
        <w:spacing w:line="276" w:lineRule="auto"/>
        <w:rPr>
          <w:sz w:val="24"/>
          <w:szCs w:val="24"/>
        </w:rPr>
      </w:pPr>
      <w:r>
        <w:rPr>
          <w:sz w:val="24"/>
          <w:szCs w:val="24"/>
        </w:rPr>
        <w:t xml:space="preserve">Структура учреждений культуры Белоярского района включает в себя                       17 учрежден</w:t>
      </w:r>
      <w:r>
        <w:rPr>
          <w:sz w:val="24"/>
          <w:szCs w:val="24"/>
        </w:rPr>
        <w:t xml:space="preserve">ий культурно-досугового типа, 11</w:t>
      </w:r>
      <w:r>
        <w:rPr>
          <w:sz w:val="24"/>
          <w:szCs w:val="24"/>
        </w:rPr>
        <w:t xml:space="preserve"> библиотек, входящих в централизованную библиотечную систему, </w:t>
      </w:r>
      <w:r>
        <w:rPr>
          <w:sz w:val="24"/>
          <w:szCs w:val="24"/>
        </w:rPr>
        <w:t xml:space="preserve">Д</w:t>
      </w:r>
      <w:r>
        <w:rPr>
          <w:sz w:val="24"/>
          <w:szCs w:val="24"/>
        </w:rPr>
        <w:t xml:space="preserve">етскую школу искусств и 6 сельских классов,</w:t>
      </w:r>
      <w:r>
        <w:rPr>
          <w:sz w:val="24"/>
          <w:szCs w:val="24"/>
        </w:rPr>
        <w:t xml:space="preserve"> а также Школа креативных индустрий,</w:t>
      </w:r>
      <w:r>
        <w:rPr>
          <w:sz w:val="24"/>
          <w:szCs w:val="24"/>
        </w:rPr>
        <w:t xml:space="preserve"> Этнокультурный центр </w:t>
      </w:r>
      <w:r>
        <w:rPr>
          <w:sz w:val="24"/>
          <w:szCs w:val="24"/>
        </w:rPr>
        <w:t xml:space="preserve">и муниципальное автономное учреждение культуры с.п. Казым «Центр историко-культурного наследия «Касум-ех»</w:t>
      </w:r>
      <w:r>
        <w:rPr>
          <w:sz w:val="24"/>
          <w:szCs w:val="24"/>
        </w:rPr>
        <w:t xml:space="preserve">.</w:t>
      </w:r>
      <w:r>
        <w:rPr>
          <w:sz w:val="24"/>
          <w:szCs w:val="24"/>
        </w:rPr>
        <w:t xml:space="preserve"> </w:t>
      </w:r>
      <w:r>
        <w:rPr>
          <w:sz w:val="24"/>
          <w:szCs w:val="24"/>
        </w:rPr>
      </w:r>
      <w:r>
        <w:rPr>
          <w:sz w:val="24"/>
          <w:szCs w:val="24"/>
        </w:rPr>
      </w:r>
    </w:p>
    <w:p>
      <w:pPr>
        <w:pStyle w:val="934"/>
        <w:ind w:firstLine="709"/>
        <w:jc w:val="both"/>
        <w:spacing w:line="300" w:lineRule="auto"/>
        <w:rPr>
          <w:sz w:val="24"/>
          <w:szCs w:val="24"/>
        </w:rPr>
      </w:pPr>
      <w:r>
        <w:rPr>
          <w:sz w:val="24"/>
          <w:szCs w:val="24"/>
        </w:rPr>
        <w:t xml:space="preserve">За 2024 год проведены 3 766 мероприятий, наиболее значимыми стали: торжественное открытие Года семьи; церемония открытия Года народного сплочения; выездная благотворительная концертная программа «Мы вместе» в подд</w:t>
      </w:r>
      <w:r>
        <w:rPr>
          <w:sz w:val="24"/>
          <w:szCs w:val="24"/>
        </w:rPr>
        <w:t xml:space="preserve">ержку участников СВО и их семей; акция по сбору книг «Дарите книги с любовью»; цикл мероприятий, приуроченных к 35-летию вывода войск из Афганистана; ХХ открытый военно-патриотический фестиваль «Эхо войны»; торжественное открытие скульптурной композиции «П</w:t>
      </w:r>
      <w:r>
        <w:rPr>
          <w:sz w:val="24"/>
          <w:szCs w:val="24"/>
        </w:rPr>
        <w:t xml:space="preserve">ризывник» и содействие в организации и проведении открытия Молодежного центра; «День оленевода»; фестиваль рок-музыки «НЕ ФОРМАТ»; празднование 230-летия с. Тугияны; фестиваль «Я люблю тебя, Россия»; открытый конкурс пианистов «Волшебные клавиши» и другие.</w:t>
      </w:r>
      <w:r>
        <w:rPr>
          <w:sz w:val="24"/>
          <w:szCs w:val="24"/>
        </w:rPr>
      </w:r>
      <w:r>
        <w:rPr>
          <w:sz w:val="24"/>
          <w:szCs w:val="24"/>
        </w:rPr>
      </w:r>
    </w:p>
    <w:p>
      <w:pPr>
        <w:pStyle w:val="934"/>
        <w:ind w:firstLine="709"/>
        <w:jc w:val="both"/>
        <w:spacing w:line="276" w:lineRule="auto"/>
        <w:rPr>
          <w:sz w:val="24"/>
          <w:szCs w:val="24"/>
        </w:rPr>
      </w:pPr>
      <w:r>
        <w:rPr>
          <w:sz w:val="24"/>
          <w:szCs w:val="24"/>
        </w:rPr>
        <w:t xml:space="preserve">В Детской школе искусств в восьмой раз состоялась международная выставка-конкурс «Славянские узоры». В выстав</w:t>
      </w:r>
      <w:r>
        <w:rPr>
          <w:sz w:val="24"/>
          <w:szCs w:val="24"/>
        </w:rPr>
        <w:t xml:space="preserve">ке приняли участие более 800 человек из 32 учебных заведений четырех государств – России (8 субъектов), Белоруссии (5 городов), Молдовы (2 города), Армении (1 город). Из общего числа участников лауреатами конкурса стали 240 человек, из которых 34 человека </w:t>
      </w:r>
      <w:r>
        <w:rPr>
          <w:sz w:val="24"/>
          <w:szCs w:val="24"/>
        </w:rPr>
        <w:t xml:space="preserve">о</w:t>
      </w:r>
      <w:r>
        <w:rPr>
          <w:sz w:val="24"/>
          <w:szCs w:val="24"/>
        </w:rPr>
        <w:t xml:space="preserve">т Детской школы </w:t>
      </w:r>
      <w:r>
        <w:rPr>
          <w:sz w:val="24"/>
          <w:szCs w:val="24"/>
        </w:rPr>
        <w:t xml:space="preserve">искусств г. Белоярский.</w:t>
      </w:r>
      <w:r>
        <w:rPr>
          <w:sz w:val="24"/>
          <w:szCs w:val="24"/>
        </w:rPr>
      </w:r>
      <w:r>
        <w:rPr>
          <w:sz w:val="24"/>
          <w:szCs w:val="24"/>
        </w:rPr>
      </w:r>
    </w:p>
    <w:p>
      <w:pPr>
        <w:pStyle w:val="934"/>
        <w:ind w:firstLine="709"/>
        <w:jc w:val="both"/>
        <w:spacing w:line="276" w:lineRule="auto"/>
        <w:rPr>
          <w:sz w:val="24"/>
          <w:szCs w:val="24"/>
        </w:rPr>
      </w:pPr>
      <w:r>
        <w:rPr>
          <w:sz w:val="24"/>
          <w:szCs w:val="24"/>
        </w:rPr>
        <w:t xml:space="preserve">В сентябре текущего года был организован фестиваль культур коренных народов мира «Сияние Севера», в котором приняли участие коллективы, представляющие культуру Мексики, Африки, </w:t>
      </w:r>
      <w:r>
        <w:rPr>
          <w:sz w:val="24"/>
          <w:szCs w:val="24"/>
        </w:rPr>
        <w:t xml:space="preserve">Республики Беларусь, Армении и народов, проживающих на территории России.</w:t>
      </w:r>
      <w:r>
        <w:rPr>
          <w:sz w:val="24"/>
          <w:szCs w:val="24"/>
        </w:rPr>
      </w:r>
      <w:r>
        <w:rPr>
          <w:sz w:val="24"/>
          <w:szCs w:val="24"/>
        </w:rPr>
      </w:r>
    </w:p>
    <w:p>
      <w:pPr>
        <w:pStyle w:val="934"/>
        <w:ind w:firstLine="709"/>
        <w:jc w:val="both"/>
        <w:spacing w:line="300" w:lineRule="auto"/>
        <w:rPr>
          <w:sz w:val="24"/>
          <w:szCs w:val="24"/>
        </w:rPr>
      </w:pPr>
      <w:r>
        <w:rPr>
          <w:sz w:val="24"/>
          <w:szCs w:val="24"/>
        </w:rPr>
        <w:t xml:space="preserve">В </w:t>
      </w:r>
      <w:r>
        <w:rPr>
          <w:sz w:val="24"/>
          <w:szCs w:val="24"/>
        </w:rPr>
        <w:t xml:space="preserve">проекте </w:t>
      </w:r>
      <w:r>
        <w:rPr>
          <w:sz w:val="24"/>
          <w:szCs w:val="24"/>
        </w:rPr>
        <w:t xml:space="preserve">«Пушкинская карта» </w:t>
      </w:r>
      <w:r>
        <w:rPr>
          <w:sz w:val="24"/>
          <w:szCs w:val="24"/>
        </w:rPr>
        <w:t xml:space="preserve">участвует 21</w:t>
      </w:r>
      <w:r>
        <w:rPr>
          <w:sz w:val="24"/>
          <w:szCs w:val="24"/>
        </w:rPr>
        <w:t xml:space="preserve"> учреждени</w:t>
      </w:r>
      <w:r>
        <w:rPr>
          <w:sz w:val="24"/>
          <w:szCs w:val="24"/>
        </w:rPr>
        <w:t xml:space="preserve">е</w:t>
      </w:r>
      <w:r>
        <w:rPr>
          <w:sz w:val="24"/>
          <w:szCs w:val="24"/>
        </w:rPr>
        <w:t xml:space="preserve"> и организации, осуществляющие деятельность в области культуры. </w:t>
      </w:r>
      <w:r>
        <w:rPr>
          <w:sz w:val="24"/>
          <w:szCs w:val="24"/>
        </w:rPr>
        <w:t xml:space="preserve">В отчетном периоде проведены 215</w:t>
      </w:r>
      <w:r>
        <w:rPr>
          <w:sz w:val="24"/>
          <w:szCs w:val="24"/>
        </w:rPr>
        <w:t xml:space="preserve"> мероприятий</w:t>
      </w:r>
      <w:r>
        <w:rPr>
          <w:sz w:val="24"/>
          <w:szCs w:val="24"/>
        </w:rPr>
        <w:t xml:space="preserve">, продано более </w:t>
      </w:r>
      <w:r>
        <w:rPr>
          <w:sz w:val="24"/>
          <w:szCs w:val="24"/>
        </w:rPr>
        <w:t xml:space="preserve">5,9</w:t>
      </w:r>
      <w:r>
        <w:rPr>
          <w:sz w:val="24"/>
          <w:szCs w:val="24"/>
        </w:rPr>
        <w:t xml:space="preserve"> тыс. билетов</w:t>
      </w:r>
      <w:r>
        <w:rPr>
          <w:sz w:val="24"/>
          <w:szCs w:val="24"/>
        </w:rPr>
        <w:t xml:space="preserve">. Действую</w:t>
      </w:r>
      <w:r>
        <w:rPr>
          <w:sz w:val="24"/>
          <w:szCs w:val="24"/>
        </w:rPr>
        <w:t xml:space="preserve">т 1</w:t>
      </w:r>
      <w:r>
        <w:rPr>
          <w:sz w:val="24"/>
          <w:szCs w:val="24"/>
        </w:rPr>
        <w:t xml:space="preserve"> 553 </w:t>
      </w:r>
      <w:r>
        <w:rPr>
          <w:sz w:val="24"/>
          <w:szCs w:val="24"/>
        </w:rPr>
        <w:t xml:space="preserve">карт</w:t>
      </w:r>
      <w:r>
        <w:rPr>
          <w:sz w:val="24"/>
          <w:szCs w:val="24"/>
        </w:rPr>
        <w:t xml:space="preserve">ы</w:t>
      </w:r>
      <w:r>
        <w:rPr>
          <w:sz w:val="24"/>
          <w:szCs w:val="24"/>
        </w:rPr>
        <w:t xml:space="preserve">.</w:t>
      </w:r>
      <w:r>
        <w:rPr>
          <w:sz w:val="24"/>
          <w:szCs w:val="24"/>
        </w:rPr>
      </w:r>
      <w:r>
        <w:rPr>
          <w:sz w:val="24"/>
          <w:szCs w:val="24"/>
        </w:rPr>
      </w:r>
    </w:p>
    <w:p>
      <w:pPr>
        <w:pStyle w:val="934"/>
        <w:ind w:firstLine="709"/>
        <w:jc w:val="both"/>
        <w:spacing w:line="300" w:lineRule="auto"/>
        <w:rPr>
          <w:sz w:val="24"/>
          <w:szCs w:val="24"/>
        </w:rPr>
      </w:pPr>
      <w:r>
        <w:rPr>
          <w:sz w:val="24"/>
          <w:szCs w:val="24"/>
        </w:rPr>
        <w:t xml:space="preserve">За отчетный период учреждения культуры и дополнительного образования в области культуры приняли участие в 296 конкурсах различных уровней и завоевали 1 208 наград 1,2,3 степеней, в том числе 36 Гран-При (за 2023 год 847 наград, в том числе 23 Гран-При).</w:t>
      </w:r>
      <w:r>
        <w:rPr>
          <w:sz w:val="24"/>
          <w:szCs w:val="24"/>
        </w:rPr>
      </w:r>
      <w:r>
        <w:rPr>
          <w:sz w:val="24"/>
          <w:szCs w:val="24"/>
        </w:rPr>
      </w:r>
    </w:p>
    <w:p>
      <w:pPr>
        <w:pStyle w:val="934"/>
        <w:ind w:firstLine="709"/>
        <w:jc w:val="both"/>
        <w:spacing w:line="300" w:lineRule="auto"/>
        <w:rPr>
          <w:sz w:val="24"/>
          <w:szCs w:val="24"/>
        </w:rPr>
      </w:pPr>
      <w:r>
        <w:rPr>
          <w:sz w:val="24"/>
          <w:szCs w:val="24"/>
        </w:rPr>
        <w:t xml:space="preserve">Учреждения культуры и немуниципальные организации, осуществляющие деятельность в сфере культуры на территории Белоярского района, приняли участие конкурсах с </w:t>
      </w:r>
      <w:r>
        <w:rPr>
          <w:sz w:val="24"/>
          <w:szCs w:val="24"/>
        </w:rPr>
        <w:t xml:space="preserve">грантовой</w:t>
      </w:r>
      <w:r>
        <w:rPr>
          <w:sz w:val="24"/>
          <w:szCs w:val="24"/>
        </w:rPr>
        <w:t xml:space="preserve"> поддержкой и получили </w:t>
      </w:r>
      <w:r>
        <w:rPr>
          <w:sz w:val="24"/>
          <w:szCs w:val="24"/>
        </w:rPr>
        <w:t xml:space="preserve">грантов/премий на общую сумму более</w:t>
      </w:r>
      <w:r>
        <w:rPr>
          <w:sz w:val="24"/>
          <w:szCs w:val="24"/>
        </w:rPr>
        <w:t xml:space="preserve"> </w:t>
      </w:r>
      <w:r>
        <w:rPr>
          <w:sz w:val="24"/>
          <w:szCs w:val="24"/>
        </w:rPr>
        <w:t xml:space="preserve">20,5</w:t>
      </w:r>
      <w:r>
        <w:rPr>
          <w:sz w:val="24"/>
          <w:szCs w:val="24"/>
        </w:rPr>
        <w:t xml:space="preserve"> млн. рублей</w:t>
      </w:r>
      <w:r>
        <w:rPr>
          <w:sz w:val="24"/>
          <w:szCs w:val="24"/>
        </w:rPr>
        <w:t xml:space="preserve">.</w:t>
      </w:r>
      <w:r>
        <w:rPr>
          <w:sz w:val="24"/>
          <w:szCs w:val="24"/>
        </w:rPr>
      </w:r>
      <w:r>
        <w:rPr>
          <w:sz w:val="24"/>
          <w:szCs w:val="24"/>
        </w:rPr>
      </w:r>
    </w:p>
    <w:p>
      <w:pPr>
        <w:pStyle w:val="934"/>
        <w:ind w:firstLine="709"/>
        <w:jc w:val="both"/>
        <w:spacing w:line="300" w:lineRule="auto"/>
        <w:rPr>
          <w:sz w:val="24"/>
          <w:szCs w:val="24"/>
        </w:rPr>
      </w:pPr>
      <w:r>
        <w:rPr>
          <w:sz w:val="24"/>
          <w:szCs w:val="24"/>
        </w:rPr>
        <w:t xml:space="preserve">Центральная районная библиотека </w:t>
      </w:r>
      <w:r>
        <w:rPr>
          <w:sz w:val="24"/>
          <w:szCs w:val="24"/>
        </w:rPr>
        <w:t xml:space="preserve">муниципального автономного учреждения культуры</w:t>
      </w:r>
      <w:r>
        <w:rPr>
          <w:sz w:val="24"/>
          <w:szCs w:val="24"/>
        </w:rPr>
        <w:t xml:space="preserve"> Белоярского района «Белоярская централизованная библиотечная система» стала победителем конкурсного отбора Министерства культуры Российской Федерации на модернизацию библиотеки по современному стандарту</w:t>
      </w:r>
      <w:r>
        <w:rPr>
          <w:sz w:val="24"/>
          <w:szCs w:val="24"/>
        </w:rPr>
        <w:t xml:space="preserve"> библиотек нового поколения. </w:t>
      </w:r>
      <w:r>
        <w:rPr>
          <w:sz w:val="24"/>
          <w:szCs w:val="24"/>
        </w:rPr>
        <w:t xml:space="preserve">Были проведены ремонтные работы, приобретена мебель и оборудование.</w:t>
      </w:r>
      <w:r>
        <w:rPr>
          <w:sz w:val="24"/>
          <w:szCs w:val="24"/>
        </w:rPr>
        <w:t xml:space="preserve"> Торжественное открытие Центральной районной библиотеки </w:t>
      </w:r>
      <w:r>
        <w:rPr>
          <w:sz w:val="24"/>
          <w:szCs w:val="24"/>
        </w:rPr>
        <w:t xml:space="preserve">после модернизации </w:t>
      </w:r>
      <w:r>
        <w:rPr>
          <w:sz w:val="24"/>
          <w:szCs w:val="24"/>
        </w:rPr>
        <w:t xml:space="preserve">состоялось в </w:t>
      </w:r>
      <w:r>
        <w:rPr>
          <w:sz w:val="24"/>
          <w:szCs w:val="24"/>
        </w:rPr>
        <w:t xml:space="preserve">августе</w:t>
      </w:r>
      <w:r>
        <w:rPr>
          <w:sz w:val="24"/>
          <w:szCs w:val="24"/>
        </w:rPr>
        <w:t xml:space="preserve"> 2024 года. </w:t>
      </w:r>
      <w:r>
        <w:rPr>
          <w:sz w:val="24"/>
          <w:szCs w:val="24"/>
        </w:rPr>
        <w:t xml:space="preserve">Общая сумма финансирования составляет 15,8 млн. рублей.</w:t>
      </w:r>
      <w:r>
        <w:rPr>
          <w:sz w:val="24"/>
          <w:szCs w:val="24"/>
        </w:rPr>
        <w:t xml:space="preserve"> </w:t>
      </w:r>
      <w:r>
        <w:rPr>
          <w:sz w:val="24"/>
          <w:szCs w:val="24"/>
        </w:rPr>
        <w:t xml:space="preserve"> </w:t>
      </w:r>
      <w:r>
        <w:rPr>
          <w:sz w:val="24"/>
          <w:szCs w:val="24"/>
        </w:rPr>
      </w:r>
      <w:r>
        <w:rPr>
          <w:sz w:val="24"/>
          <w:szCs w:val="24"/>
        </w:rPr>
      </w:r>
    </w:p>
    <w:p>
      <w:pPr>
        <w:pStyle w:val="934"/>
        <w:ind w:firstLine="709"/>
        <w:jc w:val="both"/>
        <w:spacing w:line="300" w:lineRule="auto"/>
        <w:rPr>
          <w:sz w:val="24"/>
          <w:szCs w:val="24"/>
        </w:rPr>
      </w:pPr>
      <w:r>
        <w:rPr>
          <w:sz w:val="24"/>
          <w:szCs w:val="24"/>
        </w:rPr>
        <w:t xml:space="preserve">В </w:t>
      </w:r>
      <w:r>
        <w:rPr>
          <w:sz w:val="24"/>
          <w:szCs w:val="24"/>
        </w:rPr>
        <w:t xml:space="preserve">г. Белоярский действует</w:t>
      </w:r>
      <w:r>
        <w:rPr>
          <w:sz w:val="24"/>
          <w:szCs w:val="24"/>
        </w:rPr>
        <w:t xml:space="preserve"> Школы креативных индустрий, которая стала структурным подразделением </w:t>
      </w:r>
      <w:r>
        <w:rPr>
          <w:sz w:val="24"/>
          <w:szCs w:val="24"/>
        </w:rPr>
        <w:t xml:space="preserve">МАОУ</w:t>
      </w:r>
      <w:r>
        <w:rPr>
          <w:sz w:val="24"/>
          <w:szCs w:val="24"/>
        </w:rPr>
        <w:t xml:space="preserve"> </w:t>
      </w:r>
      <w:r>
        <w:rPr>
          <w:sz w:val="24"/>
          <w:szCs w:val="24"/>
        </w:rPr>
        <w:t xml:space="preserve">ДО</w:t>
      </w:r>
      <w:r>
        <w:rPr>
          <w:sz w:val="24"/>
          <w:szCs w:val="24"/>
        </w:rPr>
        <w:t xml:space="preserve"> в области культуры Белоярского района «</w:t>
      </w:r>
      <w:r>
        <w:rPr>
          <w:sz w:val="24"/>
          <w:szCs w:val="24"/>
        </w:rPr>
        <w:t xml:space="preserve">Детская школа искусств г. Белоярский». Школа креативных индустрий – это современное учебное пространство, где бесплатно занимаются дети в возрасте от 12 до 17 лет по направлениям «дизайн», «анимация», «3D графика», «звукорежиссура» и «электронная музыка». </w:t>
      </w:r>
      <w:r>
        <w:rPr>
          <w:sz w:val="24"/>
          <w:szCs w:val="24"/>
        </w:rPr>
        <w:t xml:space="preserve">Всего по </w:t>
      </w:r>
      <w:r>
        <w:rPr>
          <w:sz w:val="24"/>
          <w:szCs w:val="24"/>
        </w:rPr>
        <w:t xml:space="preserve">н</w:t>
      </w:r>
      <w:r>
        <w:rPr>
          <w:sz w:val="24"/>
          <w:szCs w:val="24"/>
        </w:rPr>
        <w:t xml:space="preserve">аправлениям обучение проходят 120</w:t>
      </w:r>
      <w:r>
        <w:rPr>
          <w:sz w:val="24"/>
          <w:szCs w:val="24"/>
        </w:rPr>
        <w:t xml:space="preserve"> учащихся.</w:t>
      </w:r>
      <w:r>
        <w:rPr>
          <w:sz w:val="24"/>
          <w:szCs w:val="24"/>
        </w:rPr>
      </w:r>
      <w:r>
        <w:rPr>
          <w:sz w:val="24"/>
          <w:szCs w:val="24"/>
        </w:rPr>
      </w:r>
    </w:p>
    <w:p>
      <w:pPr>
        <w:pStyle w:val="934"/>
        <w:ind w:firstLine="709"/>
        <w:jc w:val="both"/>
        <w:spacing w:line="300" w:lineRule="auto"/>
        <w:rPr>
          <w:sz w:val="24"/>
          <w:szCs w:val="24"/>
        </w:rPr>
      </w:pPr>
      <w:r>
        <w:rPr>
          <w:sz w:val="24"/>
          <w:szCs w:val="24"/>
        </w:rPr>
        <w:t xml:space="preserve">По состоянию на 1 </w:t>
      </w:r>
      <w:r>
        <w:rPr>
          <w:sz w:val="24"/>
          <w:szCs w:val="24"/>
        </w:rPr>
        <w:t xml:space="preserve">января 2025</w:t>
      </w:r>
      <w:r>
        <w:rPr>
          <w:sz w:val="24"/>
          <w:szCs w:val="24"/>
        </w:rPr>
        <w:t xml:space="preserve"> года среднемесячная заработная плата работников учреждений культуры составила </w:t>
      </w:r>
      <w:r>
        <w:rPr>
          <w:sz w:val="24"/>
          <w:szCs w:val="24"/>
        </w:rPr>
        <w:t xml:space="preserve">102 574,6</w:t>
      </w:r>
      <w:r>
        <w:rPr>
          <w:sz w:val="24"/>
          <w:szCs w:val="24"/>
        </w:rPr>
        <w:t xml:space="preserve"> руб.</w:t>
      </w:r>
      <w:r>
        <w:rPr>
          <w:sz w:val="24"/>
          <w:szCs w:val="24"/>
        </w:rPr>
        <w:t xml:space="preserve">, педагогических работников дополнительного образования детей в сфере культуры – </w:t>
      </w:r>
      <w:r>
        <w:rPr>
          <w:sz w:val="24"/>
          <w:szCs w:val="24"/>
        </w:rPr>
        <w:t xml:space="preserve">107 469,3</w:t>
      </w:r>
      <w:r>
        <w:rPr>
          <w:sz w:val="24"/>
          <w:szCs w:val="24"/>
        </w:rPr>
        <w:t xml:space="preserve"> тыс. руб.</w:t>
      </w:r>
      <w:r>
        <w:rPr>
          <w:sz w:val="24"/>
          <w:szCs w:val="24"/>
        </w:rPr>
      </w:r>
      <w:r>
        <w:rPr>
          <w:sz w:val="24"/>
          <w:szCs w:val="24"/>
        </w:rPr>
      </w:r>
    </w:p>
    <w:p>
      <w:pPr>
        <w:pStyle w:val="934"/>
        <w:spacing w:line="276" w:lineRule="auto"/>
        <w:rPr>
          <w:rFonts w:eastAsia="Calibri"/>
          <w:color w:val="ff0000"/>
          <w:sz w:val="24"/>
          <w:szCs w:val="24"/>
          <w:lang w:eastAsia="en-US"/>
        </w:rPr>
      </w:pPr>
      <w:r>
        <w:rPr>
          <w:rFonts w:eastAsia="Calibri"/>
          <w:color w:val="ff0000"/>
          <w:sz w:val="24"/>
          <w:szCs w:val="24"/>
          <w:lang w:eastAsia="en-US"/>
        </w:rPr>
      </w:r>
      <w:r>
        <w:rPr>
          <w:rFonts w:eastAsia="Calibri"/>
          <w:color w:val="ff0000"/>
          <w:sz w:val="24"/>
          <w:szCs w:val="24"/>
          <w:lang w:eastAsia="en-US"/>
        </w:rPr>
      </w:r>
      <w:r>
        <w:rPr>
          <w:rFonts w:eastAsia="Calibri"/>
          <w:color w:val="ff0000"/>
          <w:sz w:val="24"/>
          <w:szCs w:val="24"/>
          <w:lang w:eastAsia="en-US"/>
        </w:rPr>
      </w:r>
    </w:p>
    <w:p>
      <w:pPr>
        <w:pStyle w:val="934"/>
        <w:jc w:val="both"/>
        <w:spacing w:line="276" w:lineRule="auto"/>
        <w:rPr>
          <w:b/>
          <w:i/>
          <w:sz w:val="24"/>
          <w:szCs w:val="24"/>
        </w:rPr>
        <w:outlineLvl w:val="0"/>
      </w:pPr>
      <w:r>
        <w:rPr>
          <w:b/>
          <w:i/>
          <w:sz w:val="24"/>
          <w:szCs w:val="24"/>
        </w:rPr>
        <w:t xml:space="preserve">Социальная защита населения</w:t>
      </w:r>
      <w:r>
        <w:rPr>
          <w:b/>
          <w:i/>
          <w:sz w:val="24"/>
          <w:szCs w:val="24"/>
        </w:rPr>
      </w:r>
      <w:r>
        <w:rPr>
          <w:b/>
          <w:i/>
          <w:sz w:val="24"/>
          <w:szCs w:val="24"/>
        </w:rPr>
      </w:r>
    </w:p>
    <w:p>
      <w:pPr>
        <w:pStyle w:val="934"/>
        <w:ind w:firstLine="720"/>
        <w:jc w:val="both"/>
        <w:spacing w:line="276" w:lineRule="auto"/>
        <w:rPr>
          <w:sz w:val="24"/>
          <w:szCs w:val="24"/>
        </w:rPr>
      </w:pPr>
      <w:r>
        <w:rPr>
          <w:sz w:val="24"/>
          <w:szCs w:val="24"/>
        </w:rPr>
        <w:t xml:space="preserve">Основными задачами Управления социальной защиты населения Белоярского района является:</w:t>
      </w:r>
      <w:r>
        <w:rPr>
          <w:sz w:val="24"/>
          <w:szCs w:val="24"/>
        </w:rPr>
      </w:r>
      <w:r>
        <w:rPr>
          <w:sz w:val="24"/>
          <w:szCs w:val="24"/>
        </w:rPr>
      </w:r>
    </w:p>
    <w:p>
      <w:pPr>
        <w:pStyle w:val="934"/>
        <w:ind w:firstLine="720"/>
        <w:jc w:val="both"/>
        <w:spacing w:line="276" w:lineRule="auto"/>
        <w:rPr>
          <w:sz w:val="24"/>
          <w:szCs w:val="24"/>
        </w:rPr>
      </w:pPr>
      <w:r>
        <w:rPr>
          <w:sz w:val="24"/>
          <w:szCs w:val="24"/>
        </w:rPr>
        <w:t xml:space="preserve">- реализация государственных мер социальной поддержки отдельных категорий граждан, семей и детей, нуждающихся в государственной поддержке;</w:t>
      </w:r>
      <w:r>
        <w:rPr>
          <w:sz w:val="24"/>
          <w:szCs w:val="24"/>
        </w:rPr>
      </w:r>
      <w:r>
        <w:rPr>
          <w:sz w:val="24"/>
          <w:szCs w:val="24"/>
        </w:rPr>
      </w:r>
    </w:p>
    <w:p>
      <w:pPr>
        <w:pStyle w:val="934"/>
        <w:ind w:firstLine="720"/>
        <w:jc w:val="both"/>
        <w:spacing w:line="276" w:lineRule="auto"/>
        <w:rPr>
          <w:sz w:val="24"/>
          <w:szCs w:val="24"/>
        </w:rPr>
      </w:pPr>
      <w:r>
        <w:rPr>
          <w:sz w:val="24"/>
          <w:szCs w:val="24"/>
        </w:rPr>
        <w:t xml:space="preserve">- организация разъяснительной работы и информирования населения на территории Белоярского района по вопросам предоставления мер социальной поддержки гражданам;</w:t>
      </w:r>
      <w:r>
        <w:rPr>
          <w:sz w:val="24"/>
          <w:szCs w:val="24"/>
        </w:rPr>
      </w:r>
      <w:r>
        <w:rPr>
          <w:sz w:val="24"/>
          <w:szCs w:val="24"/>
        </w:rPr>
      </w:r>
    </w:p>
    <w:p>
      <w:pPr>
        <w:pStyle w:val="934"/>
        <w:ind w:firstLine="720"/>
        <w:jc w:val="both"/>
        <w:spacing w:line="276" w:lineRule="auto"/>
        <w:rPr>
          <w:sz w:val="24"/>
          <w:szCs w:val="24"/>
        </w:rPr>
      </w:pPr>
      <w:r>
        <w:rPr>
          <w:sz w:val="24"/>
          <w:szCs w:val="24"/>
        </w:rPr>
        <w:t xml:space="preserve">- </w:t>
      </w:r>
      <w:r>
        <w:rPr>
          <w:sz w:val="24"/>
          <w:szCs w:val="24"/>
        </w:rPr>
        <w:t xml:space="preserve">консультирование граждан, </w:t>
      </w:r>
      <w:r>
        <w:rPr>
          <w:sz w:val="24"/>
          <w:szCs w:val="24"/>
        </w:rPr>
        <w:t xml:space="preserve">обеспечение контроля и организация работы с </w:t>
      </w:r>
      <w:r>
        <w:rPr>
          <w:sz w:val="24"/>
          <w:szCs w:val="24"/>
        </w:rPr>
        <w:t xml:space="preserve">письмами и обращениями граждан.</w:t>
      </w:r>
      <w:r>
        <w:rPr>
          <w:sz w:val="24"/>
          <w:szCs w:val="24"/>
        </w:rPr>
      </w:r>
      <w:r>
        <w:rPr>
          <w:sz w:val="24"/>
          <w:szCs w:val="24"/>
        </w:rPr>
      </w:r>
    </w:p>
    <w:p>
      <w:pPr>
        <w:pStyle w:val="934"/>
        <w:ind w:right="-1" w:firstLine="709"/>
        <w:jc w:val="right"/>
        <w:spacing w:line="276" w:lineRule="auto"/>
        <w:rPr>
          <w:sz w:val="24"/>
          <w:szCs w:val="24"/>
        </w:rPr>
      </w:pPr>
      <w:r>
        <w:rPr>
          <w:sz w:val="24"/>
          <w:szCs w:val="24"/>
        </w:rPr>
        <w:t xml:space="preserve">Таблица 2</w:t>
      </w:r>
      <w:r>
        <w:rPr>
          <w:sz w:val="24"/>
          <w:szCs w:val="24"/>
        </w:rPr>
      </w:r>
      <w:r>
        <w:rPr>
          <w:sz w:val="24"/>
          <w:szCs w:val="24"/>
        </w:rPr>
      </w:r>
    </w:p>
    <w:p>
      <w:pPr>
        <w:pStyle w:val="934"/>
        <w:ind w:firstLine="709"/>
        <w:jc w:val="center"/>
        <w:spacing w:line="276" w:lineRule="auto"/>
        <w:rPr>
          <w:b/>
          <w:sz w:val="24"/>
          <w:szCs w:val="24"/>
        </w:rPr>
      </w:pPr>
      <w:r>
        <w:rPr>
          <w:b/>
          <w:sz w:val="24"/>
          <w:szCs w:val="24"/>
        </w:rPr>
        <w:t xml:space="preserve">Анализ численности получателей льгот</w:t>
      </w:r>
      <w:r>
        <w:rPr>
          <w:b/>
          <w:sz w:val="24"/>
          <w:szCs w:val="24"/>
        </w:rPr>
      </w:r>
      <w:r>
        <w:rPr>
          <w:b/>
          <w:sz w:val="24"/>
          <w:szCs w:val="24"/>
        </w:rPr>
      </w:r>
    </w:p>
    <w:p>
      <w:pPr>
        <w:pStyle w:val="934"/>
        <w:spacing w:line="276" w:lineRule="auto"/>
        <w:rPr>
          <w:b/>
          <w:color w:val="ff0000"/>
          <w:sz w:val="24"/>
          <w:szCs w:val="24"/>
        </w:rPr>
      </w:pPr>
      <w:r>
        <w:rPr>
          <w:b/>
          <w:color w:val="ff0000"/>
          <w:sz w:val="24"/>
          <w:szCs w:val="24"/>
        </w:rPr>
      </w:r>
      <w:r>
        <w:rPr>
          <w:b/>
          <w:color w:val="ff0000"/>
          <w:sz w:val="24"/>
          <w:szCs w:val="24"/>
        </w:rPr>
      </w:r>
      <w:r>
        <w:rPr>
          <w:b/>
          <w:color w:val="ff0000"/>
          <w:sz w:val="24"/>
          <w:szCs w:val="24"/>
        </w:rPr>
      </w:r>
    </w:p>
    <w:tbl>
      <w:tblPr>
        <w:tblW w:w="9589" w:type="dxa"/>
        <w:tblInd w:w="103" w:type="dxa"/>
        <w:tblLayout w:type="fixed"/>
        <w:tblCellMar>
          <w:left w:w="108" w:type="dxa"/>
          <w:top w:w="0" w:type="dxa"/>
          <w:right w:w="108" w:type="dxa"/>
          <w:bottom w:w="0" w:type="dxa"/>
        </w:tblCellMar>
        <w:tblLook w:val="04A0" w:firstRow="1" w:lastRow="0" w:firstColumn="1" w:lastColumn="0" w:noHBand="0" w:noVBand="1"/>
      </w:tblPr>
      <w:tblGrid>
        <w:gridCol w:w="601"/>
        <w:gridCol w:w="4791"/>
        <w:gridCol w:w="1417"/>
        <w:gridCol w:w="1701"/>
        <w:gridCol w:w="1079"/>
      </w:tblGrid>
      <w:tr>
        <w:tblPrEx/>
        <w:trPr>
          <w:trHeight w:val="333"/>
        </w:trPr>
        <w:tc>
          <w:tcPr>
            <w:tcBorders>
              <w:top w:val="single" w:color="000000" w:sz="4" w:space="0"/>
              <w:left w:val="single" w:color="000000" w:sz="4" w:space="0"/>
              <w:bottom w:val="single" w:color="000000" w:sz="4" w:space="0"/>
              <w:right w:val="single" w:color="000000" w:sz="4" w:space="0"/>
            </w:tcBorders>
            <w:tcW w:w="601" w:type="dxa"/>
            <w:vAlign w:val="center"/>
            <w:vMerge w:val="restart"/>
            <w:textDirection w:val="lrTb"/>
            <w:noWrap/>
          </w:tcPr>
          <w:p>
            <w:pPr>
              <w:pStyle w:val="934"/>
              <w:jc w:val="center"/>
              <w:spacing w:line="276" w:lineRule="auto"/>
              <w:rPr>
                <w:sz w:val="24"/>
                <w:szCs w:val="24"/>
              </w:rPr>
            </w:pPr>
            <w:r>
              <w:rPr>
                <w:sz w:val="24"/>
                <w:szCs w:val="24"/>
              </w:rPr>
              <w:t xml:space="preserve">№ п/п</w:t>
            </w:r>
            <w:r>
              <w:rPr>
                <w:sz w:val="24"/>
                <w:szCs w:val="24"/>
              </w:rPr>
            </w:r>
            <w:r>
              <w:rPr>
                <w:sz w:val="24"/>
                <w:szCs w:val="24"/>
              </w:rPr>
            </w:r>
          </w:p>
        </w:tc>
        <w:tc>
          <w:tcPr>
            <w:tcBorders>
              <w:top w:val="single" w:color="000000" w:sz="4" w:space="0"/>
              <w:left w:val="single" w:color="000000" w:sz="4" w:space="0"/>
              <w:bottom w:val="single" w:color="000000" w:sz="4" w:space="0"/>
              <w:right w:val="single" w:color="000000" w:sz="4" w:space="0"/>
            </w:tcBorders>
            <w:tcW w:w="4791" w:type="dxa"/>
            <w:vAlign w:val="center"/>
            <w:vMerge w:val="restart"/>
            <w:textDirection w:val="lrTb"/>
            <w:noWrap/>
          </w:tcPr>
          <w:p>
            <w:pPr>
              <w:pStyle w:val="934"/>
              <w:jc w:val="center"/>
              <w:spacing w:line="276" w:lineRule="auto"/>
              <w:rPr>
                <w:sz w:val="24"/>
                <w:szCs w:val="24"/>
              </w:rPr>
            </w:pPr>
            <w:r>
              <w:rPr>
                <w:sz w:val="24"/>
                <w:szCs w:val="24"/>
              </w:rPr>
              <w:t xml:space="preserve">Наименование</w:t>
            </w:r>
            <w:r>
              <w:rPr>
                <w:sz w:val="24"/>
                <w:szCs w:val="24"/>
              </w:rPr>
            </w:r>
            <w:r>
              <w:rPr>
                <w:sz w:val="24"/>
                <w:szCs w:val="24"/>
              </w:rPr>
            </w:r>
          </w:p>
        </w:tc>
        <w:tc>
          <w:tcPr>
            <w:gridSpan w:val="3"/>
            <w:tcBorders>
              <w:top w:val="single" w:color="000000" w:sz="4" w:space="0"/>
              <w:left w:val="none" w:color="000000" w:sz="4" w:space="0"/>
              <w:bottom w:val="single" w:color="000000" w:sz="4" w:space="0"/>
              <w:right w:val="single" w:color="000000" w:sz="4" w:space="0"/>
            </w:tcBorders>
            <w:tcW w:w="4197" w:type="dxa"/>
            <w:vAlign w:val="bottom"/>
            <w:textDirection w:val="lrTb"/>
            <w:noWrap/>
          </w:tcPr>
          <w:p>
            <w:pPr>
              <w:pStyle w:val="934"/>
              <w:jc w:val="center"/>
              <w:spacing w:line="276" w:lineRule="auto"/>
              <w:rPr>
                <w:sz w:val="24"/>
                <w:szCs w:val="24"/>
              </w:rPr>
            </w:pPr>
            <w:r>
              <w:rPr>
                <w:sz w:val="24"/>
                <w:szCs w:val="24"/>
              </w:rPr>
              <w:t xml:space="preserve">Численность получателей льгот, человек</w:t>
            </w:r>
            <w:r>
              <w:rPr>
                <w:sz w:val="24"/>
                <w:szCs w:val="24"/>
              </w:rPr>
            </w:r>
            <w:r>
              <w:rPr>
                <w:sz w:val="24"/>
                <w:szCs w:val="24"/>
              </w:rPr>
            </w:r>
          </w:p>
        </w:tc>
      </w:tr>
      <w:tr>
        <w:tblPrEx/>
        <w:trPr>
          <w:trHeight w:val="824"/>
        </w:trPr>
        <w:tc>
          <w:tcPr>
            <w:tcBorders>
              <w:top w:val="single" w:color="000000" w:sz="4" w:space="0"/>
              <w:left w:val="single" w:color="000000" w:sz="4" w:space="0"/>
              <w:bottom w:val="single" w:color="000000" w:sz="4" w:space="0"/>
              <w:right w:val="single" w:color="000000" w:sz="4" w:space="0"/>
            </w:tcBorders>
            <w:tcW w:w="601" w:type="dxa"/>
            <w:vAlign w:val="center"/>
            <w:vMerge w:val="continue"/>
            <w:textDirection w:val="lrTb"/>
            <w:noWrap w:val="false"/>
          </w:tcPr>
          <w:p>
            <w:pPr>
              <w:pStyle w:val="934"/>
              <w:spacing w:line="276" w:lineRule="auto"/>
              <w:rPr>
                <w:sz w:val="24"/>
                <w:szCs w:val="24"/>
              </w:rPr>
            </w:pPr>
            <w:r>
              <w:rPr>
                <w:sz w:val="24"/>
                <w:szCs w:val="24"/>
              </w:rPr>
            </w:r>
            <w:r>
              <w:rPr>
                <w:sz w:val="24"/>
                <w:szCs w:val="24"/>
              </w:rPr>
            </w:r>
            <w:r>
              <w:rPr>
                <w:sz w:val="24"/>
                <w:szCs w:val="24"/>
              </w:rPr>
            </w:r>
          </w:p>
        </w:tc>
        <w:tc>
          <w:tcPr>
            <w:tcBorders>
              <w:top w:val="single" w:color="000000" w:sz="4" w:space="0"/>
              <w:left w:val="single" w:color="000000" w:sz="4" w:space="0"/>
              <w:bottom w:val="single" w:color="000000" w:sz="4" w:space="0"/>
              <w:right w:val="single" w:color="000000" w:sz="4" w:space="0"/>
            </w:tcBorders>
            <w:tcW w:w="4791" w:type="dxa"/>
            <w:vAlign w:val="center"/>
            <w:vMerge w:val="continue"/>
            <w:textDirection w:val="lrTb"/>
            <w:noWrap w:val="false"/>
          </w:tcPr>
          <w:p>
            <w:pPr>
              <w:pStyle w:val="934"/>
              <w:spacing w:line="276" w:lineRule="auto"/>
              <w:rPr>
                <w:sz w:val="24"/>
                <w:szCs w:val="24"/>
              </w:rPr>
            </w:pPr>
            <w:r>
              <w:rPr>
                <w:sz w:val="24"/>
                <w:szCs w:val="24"/>
              </w:rPr>
            </w:r>
            <w:r>
              <w:rPr>
                <w:sz w:val="24"/>
                <w:szCs w:val="24"/>
              </w:rPr>
            </w:r>
            <w:r>
              <w:rPr>
                <w:sz w:val="24"/>
                <w:szCs w:val="24"/>
              </w:rPr>
            </w:r>
          </w:p>
        </w:tc>
        <w:tc>
          <w:tcPr>
            <w:tcBorders>
              <w:top w:val="none" w:color="000000" w:sz="4" w:space="0"/>
              <w:left w:val="none" w:color="000000" w:sz="4" w:space="0"/>
              <w:bottom w:val="single" w:color="000000" w:sz="4" w:space="0"/>
              <w:right w:val="single" w:color="000000" w:sz="4" w:space="0"/>
            </w:tcBorders>
            <w:tcW w:w="1417" w:type="dxa"/>
            <w:vAlign w:val="bottom"/>
            <w:textDirection w:val="lrTb"/>
            <w:noWrap w:val="false"/>
          </w:tcPr>
          <w:p>
            <w:pPr>
              <w:pStyle w:val="934"/>
              <w:jc w:val="center"/>
              <w:spacing w:line="276" w:lineRule="auto"/>
              <w:rPr>
                <w:sz w:val="24"/>
                <w:szCs w:val="24"/>
              </w:rPr>
            </w:pPr>
            <w:r>
              <w:rPr>
                <w:sz w:val="24"/>
                <w:szCs w:val="24"/>
              </w:rPr>
              <w:t xml:space="preserve">план </w:t>
            </w:r>
            <w:r>
              <w:rPr>
                <w:sz w:val="24"/>
                <w:szCs w:val="24"/>
              </w:rPr>
              <w:t xml:space="preserve">на </w:t>
            </w:r>
            <w:r>
              <w:rPr>
                <w:sz w:val="24"/>
                <w:szCs w:val="24"/>
              </w:rPr>
              <w:t xml:space="preserve">       </w:t>
            </w:r>
            <w:r>
              <w:rPr>
                <w:sz w:val="24"/>
                <w:szCs w:val="24"/>
              </w:rPr>
              <w:t xml:space="preserve">2024</w:t>
            </w:r>
            <w:r>
              <w:rPr>
                <w:sz w:val="24"/>
                <w:szCs w:val="24"/>
              </w:rPr>
              <w:t xml:space="preserve"> </w:t>
            </w:r>
            <w:r>
              <w:rPr>
                <w:sz w:val="24"/>
                <w:szCs w:val="24"/>
              </w:rPr>
              <w:t xml:space="preserve">г.</w:t>
            </w:r>
            <w:r>
              <w:rPr>
                <w:sz w:val="24"/>
                <w:szCs w:val="24"/>
              </w:rPr>
            </w:r>
            <w:r>
              <w:rPr>
                <w:sz w:val="24"/>
                <w:szCs w:val="24"/>
              </w:rPr>
            </w:r>
          </w:p>
        </w:tc>
        <w:tc>
          <w:tcPr>
            <w:tcBorders>
              <w:top w:val="none" w:color="000000" w:sz="4" w:space="0"/>
              <w:left w:val="none" w:color="000000" w:sz="4" w:space="0"/>
              <w:bottom w:val="single" w:color="000000" w:sz="4" w:space="0"/>
              <w:right w:val="single" w:color="000000" w:sz="4" w:space="0"/>
            </w:tcBorders>
            <w:tcW w:w="1701" w:type="dxa"/>
            <w:vAlign w:val="bottom"/>
            <w:textDirection w:val="lrTb"/>
            <w:noWrap w:val="false"/>
          </w:tcPr>
          <w:p>
            <w:pPr>
              <w:pStyle w:val="934"/>
              <w:jc w:val="center"/>
              <w:spacing w:line="276" w:lineRule="auto"/>
              <w:rPr>
                <w:sz w:val="24"/>
                <w:szCs w:val="24"/>
              </w:rPr>
            </w:pPr>
            <w:r>
              <w:rPr>
                <w:sz w:val="24"/>
                <w:szCs w:val="24"/>
              </w:rPr>
              <w:t xml:space="preserve">исполнено </w:t>
            </w:r>
            <w:r>
              <w:rPr>
                <w:sz w:val="24"/>
                <w:szCs w:val="24"/>
              </w:rPr>
              <w:t xml:space="preserve">за </w:t>
            </w:r>
            <w:r>
              <w:rPr>
                <w:sz w:val="24"/>
                <w:szCs w:val="24"/>
              </w:rPr>
              <w:t xml:space="preserve">9 месяцев</w:t>
            </w:r>
            <w:r>
              <w:rPr>
                <w:sz w:val="24"/>
                <w:szCs w:val="24"/>
              </w:rPr>
              <w:t xml:space="preserve"> 2024 г.</w:t>
            </w:r>
            <w:r>
              <w:rPr>
                <w:sz w:val="24"/>
                <w:szCs w:val="24"/>
              </w:rPr>
            </w:r>
            <w:r>
              <w:rPr>
                <w:sz w:val="24"/>
                <w:szCs w:val="24"/>
              </w:rPr>
            </w:r>
          </w:p>
        </w:tc>
        <w:tc>
          <w:tcPr>
            <w:tcBorders>
              <w:top w:val="none" w:color="000000" w:sz="4" w:space="0"/>
              <w:left w:val="none" w:color="000000" w:sz="4" w:space="0"/>
              <w:bottom w:val="single" w:color="000000" w:sz="4" w:space="0"/>
              <w:right w:val="single" w:color="000000" w:sz="4" w:space="0"/>
            </w:tcBorders>
            <w:tcW w:w="1079" w:type="dxa"/>
            <w:vAlign w:val="bottom"/>
            <w:textDirection w:val="lrTb"/>
            <w:noWrap w:val="false"/>
          </w:tcPr>
          <w:p>
            <w:pPr>
              <w:pStyle w:val="934"/>
              <w:jc w:val="center"/>
              <w:spacing w:line="276" w:lineRule="auto"/>
              <w:rPr>
                <w:sz w:val="24"/>
                <w:szCs w:val="24"/>
              </w:rPr>
            </w:pPr>
            <w:r>
              <w:rPr>
                <w:sz w:val="24"/>
                <w:szCs w:val="24"/>
              </w:rPr>
              <w:t xml:space="preserve">% </w:t>
              <w:br w:type="textWrapping" w:clear="all"/>
              <w:t xml:space="preserve">исполнения</w:t>
            </w:r>
            <w:r>
              <w:rPr>
                <w:sz w:val="24"/>
                <w:szCs w:val="24"/>
              </w:rPr>
            </w:r>
            <w:r>
              <w:rPr>
                <w:sz w:val="24"/>
                <w:szCs w:val="24"/>
              </w:rPr>
            </w:r>
          </w:p>
        </w:tc>
      </w:tr>
      <w:tr>
        <w:tblPrEx/>
        <w:trPr>
          <w:trHeight w:val="242"/>
        </w:trPr>
        <w:tc>
          <w:tcPr>
            <w:shd w:val="clear" w:color="auto" w:fill="ffffff"/>
            <w:tcBorders>
              <w:top w:val="none" w:color="000000" w:sz="4" w:space="0"/>
              <w:left w:val="single" w:color="000000" w:sz="4" w:space="0"/>
              <w:bottom w:val="single" w:color="000000" w:sz="4" w:space="0"/>
              <w:right w:val="single" w:color="000000" w:sz="4" w:space="0"/>
            </w:tcBorders>
            <w:tcW w:w="601" w:type="dxa"/>
            <w:vAlign w:val="top"/>
            <w:textDirection w:val="lrTb"/>
            <w:noWrap w:val="false"/>
          </w:tcPr>
          <w:p>
            <w:pPr>
              <w:pStyle w:val="934"/>
              <w:spacing w:line="276" w:lineRule="auto"/>
              <w:rPr>
                <w:sz w:val="24"/>
                <w:szCs w:val="24"/>
              </w:rPr>
            </w:pPr>
            <w:r>
              <w:rPr>
                <w:sz w:val="24"/>
                <w:szCs w:val="24"/>
              </w:rPr>
              <w:t xml:space="preserve">1.</w:t>
            </w:r>
            <w:r>
              <w:rPr>
                <w:sz w:val="24"/>
                <w:szCs w:val="24"/>
              </w:rPr>
            </w:r>
            <w:r>
              <w:rPr>
                <w:sz w:val="24"/>
                <w:szCs w:val="24"/>
              </w:rPr>
            </w:r>
          </w:p>
        </w:tc>
        <w:tc>
          <w:tcPr>
            <w:shd w:val="clear" w:color="auto" w:fill="ffffff"/>
            <w:tcBorders>
              <w:top w:val="none" w:color="000000" w:sz="4" w:space="0"/>
              <w:left w:val="none" w:color="000000" w:sz="4" w:space="0"/>
              <w:bottom w:val="single" w:color="000000" w:sz="4" w:space="0"/>
              <w:right w:val="single" w:color="000000" w:sz="4" w:space="0"/>
            </w:tcBorders>
            <w:tcW w:w="4791" w:type="dxa"/>
            <w:vAlign w:val="top"/>
            <w:textDirection w:val="lrTb"/>
            <w:noWrap w:val="false"/>
          </w:tcPr>
          <w:p>
            <w:pPr>
              <w:pStyle w:val="934"/>
              <w:spacing w:line="276" w:lineRule="auto"/>
              <w:rPr>
                <w:sz w:val="24"/>
                <w:szCs w:val="24"/>
              </w:rPr>
            </w:pPr>
            <w:r>
              <w:rPr>
                <w:sz w:val="24"/>
                <w:szCs w:val="24"/>
              </w:rPr>
              <w:t xml:space="preserve">Субвенция на оплату жилищно-коммунальных услуг отдельным категори</w:t>
            </w:r>
            <w:r>
              <w:rPr>
                <w:sz w:val="24"/>
                <w:szCs w:val="24"/>
              </w:rPr>
              <w:t xml:space="preserve">ям </w:t>
            </w:r>
            <w:r>
              <w:rPr>
                <w:sz w:val="24"/>
                <w:szCs w:val="24"/>
              </w:rPr>
              <w:t xml:space="preserve">граждан</w:t>
            </w:r>
            <w:r>
              <w:rPr>
                <w:sz w:val="24"/>
                <w:szCs w:val="24"/>
              </w:rPr>
            </w:r>
            <w:r>
              <w:rPr>
                <w:sz w:val="24"/>
                <w:szCs w:val="24"/>
              </w:rPr>
            </w:r>
          </w:p>
        </w:tc>
        <w:tc>
          <w:tcPr>
            <w:shd w:val="clear" w:color="auto" w:fill="ffffff"/>
            <w:tcBorders>
              <w:top w:val="none" w:color="000000" w:sz="4" w:space="0"/>
              <w:left w:val="none" w:color="000000" w:sz="4" w:space="0"/>
              <w:bottom w:val="single" w:color="000000" w:sz="4" w:space="0"/>
              <w:right w:val="single" w:color="000000" w:sz="4" w:space="0"/>
            </w:tcBorders>
            <w:tcW w:w="1417" w:type="dxa"/>
            <w:vAlign w:val="center"/>
            <w:textDirection w:val="lrTb"/>
            <w:noWrap w:val="false"/>
          </w:tcPr>
          <w:p>
            <w:pPr>
              <w:pStyle w:val="934"/>
              <w:jc w:val="center"/>
              <w:spacing w:line="276" w:lineRule="auto"/>
              <w:rPr>
                <w:sz w:val="24"/>
                <w:szCs w:val="24"/>
              </w:rPr>
            </w:pPr>
            <w:r>
              <w:rPr>
                <w:sz w:val="24"/>
                <w:szCs w:val="24"/>
              </w:rPr>
              <w:t xml:space="preserve">2500</w:t>
            </w:r>
            <w:r>
              <w:rPr>
                <w:sz w:val="24"/>
                <w:szCs w:val="24"/>
              </w:rPr>
            </w:r>
            <w:r>
              <w:rPr>
                <w:sz w:val="24"/>
                <w:szCs w:val="24"/>
              </w:rPr>
            </w:r>
          </w:p>
        </w:tc>
        <w:tc>
          <w:tcPr>
            <w:shd w:val="clear" w:color="auto" w:fill="ffffff"/>
            <w:tcBorders>
              <w:top w:val="none" w:color="000000" w:sz="4" w:space="0"/>
              <w:left w:val="none" w:color="000000" w:sz="4" w:space="0"/>
              <w:bottom w:val="single" w:color="000000" w:sz="4" w:space="0"/>
              <w:right w:val="single" w:color="000000" w:sz="4" w:space="0"/>
            </w:tcBorders>
            <w:tcW w:w="1701" w:type="dxa"/>
            <w:vAlign w:val="center"/>
            <w:textDirection w:val="lrTb"/>
            <w:noWrap w:val="false"/>
          </w:tcPr>
          <w:p>
            <w:pPr>
              <w:pStyle w:val="934"/>
              <w:jc w:val="center"/>
              <w:spacing w:line="276" w:lineRule="auto"/>
              <w:rPr>
                <w:sz w:val="24"/>
                <w:szCs w:val="24"/>
              </w:rPr>
            </w:pPr>
            <w:r>
              <w:rPr>
                <w:sz w:val="24"/>
                <w:szCs w:val="24"/>
              </w:rPr>
              <w:t xml:space="preserve">3103</w:t>
            </w:r>
            <w:r>
              <w:rPr>
                <w:sz w:val="24"/>
                <w:szCs w:val="24"/>
              </w:rPr>
            </w:r>
            <w:r>
              <w:rPr>
                <w:sz w:val="24"/>
                <w:szCs w:val="24"/>
              </w:rPr>
            </w:r>
          </w:p>
        </w:tc>
        <w:tc>
          <w:tcPr>
            <w:shd w:val="clear" w:color="auto" w:fill="ffffff"/>
            <w:tcBorders>
              <w:top w:val="none" w:color="000000" w:sz="4" w:space="0"/>
              <w:left w:val="none" w:color="000000" w:sz="4" w:space="0"/>
              <w:bottom w:val="single" w:color="000000" w:sz="4" w:space="0"/>
              <w:right w:val="single" w:color="000000" w:sz="4" w:space="0"/>
            </w:tcBorders>
            <w:tcW w:w="1079" w:type="dxa"/>
            <w:vAlign w:val="center"/>
            <w:textDirection w:val="lrTb"/>
            <w:noWrap w:val="false"/>
          </w:tcPr>
          <w:p>
            <w:pPr>
              <w:pStyle w:val="934"/>
              <w:jc w:val="center"/>
              <w:spacing w:line="276" w:lineRule="auto"/>
              <w:rPr>
                <w:sz w:val="24"/>
                <w:szCs w:val="24"/>
              </w:rPr>
            </w:pPr>
            <w:r>
              <w:rPr>
                <w:sz w:val="24"/>
                <w:szCs w:val="24"/>
              </w:rPr>
              <w:t xml:space="preserve">124</w:t>
            </w:r>
            <w:r>
              <w:rPr>
                <w:sz w:val="24"/>
                <w:szCs w:val="24"/>
              </w:rPr>
            </w:r>
            <w:r>
              <w:rPr>
                <w:sz w:val="24"/>
                <w:szCs w:val="24"/>
              </w:rPr>
            </w:r>
          </w:p>
        </w:tc>
      </w:tr>
      <w:tr>
        <w:tblPrEx/>
        <w:trPr>
          <w:trHeight w:val="996"/>
        </w:trPr>
        <w:tc>
          <w:tcPr>
            <w:shd w:val="clear" w:color="auto" w:fill="ffffff"/>
            <w:tcBorders>
              <w:top w:val="none" w:color="000000" w:sz="4" w:space="0"/>
              <w:left w:val="single" w:color="000000" w:sz="4" w:space="0"/>
              <w:bottom w:val="single" w:color="000000" w:sz="4" w:space="0"/>
              <w:right w:val="single" w:color="000000" w:sz="4" w:space="0"/>
            </w:tcBorders>
            <w:tcW w:w="601" w:type="dxa"/>
            <w:vAlign w:val="top"/>
            <w:textDirection w:val="lrTb"/>
            <w:noWrap w:val="false"/>
          </w:tcPr>
          <w:p>
            <w:pPr>
              <w:pStyle w:val="934"/>
              <w:spacing w:line="276" w:lineRule="auto"/>
              <w:rPr>
                <w:sz w:val="24"/>
                <w:szCs w:val="24"/>
              </w:rPr>
            </w:pPr>
            <w:r>
              <w:rPr>
                <w:sz w:val="24"/>
                <w:szCs w:val="24"/>
              </w:rPr>
              <w:t xml:space="preserve">2.</w:t>
            </w:r>
            <w:r>
              <w:rPr>
                <w:sz w:val="24"/>
                <w:szCs w:val="24"/>
              </w:rPr>
            </w:r>
            <w:r>
              <w:rPr>
                <w:sz w:val="24"/>
                <w:szCs w:val="24"/>
              </w:rPr>
            </w:r>
          </w:p>
        </w:tc>
        <w:tc>
          <w:tcPr>
            <w:shd w:val="clear" w:color="auto" w:fill="ffffff"/>
            <w:tcBorders>
              <w:top w:val="none" w:color="000000" w:sz="4" w:space="0"/>
              <w:left w:val="none" w:color="000000" w:sz="4" w:space="0"/>
              <w:bottom w:val="single" w:color="000000" w:sz="4" w:space="0"/>
              <w:right w:val="single" w:color="000000" w:sz="4" w:space="0"/>
            </w:tcBorders>
            <w:tcW w:w="4791" w:type="dxa"/>
            <w:vAlign w:val="bottom"/>
            <w:textDirection w:val="lrTb"/>
            <w:noWrap w:val="false"/>
          </w:tcPr>
          <w:p>
            <w:pPr>
              <w:pStyle w:val="934"/>
              <w:spacing w:line="276" w:lineRule="auto"/>
              <w:rPr>
                <w:sz w:val="24"/>
                <w:szCs w:val="24"/>
              </w:rPr>
            </w:pPr>
            <w:r>
              <w:rPr>
                <w:sz w:val="24"/>
                <w:szCs w:val="24"/>
              </w:rPr>
              <w:t xml:space="preserve">Субвенция на обеспечение мер социальной поддержки для лиц, награжденных знаком «Почетный донор России»</w:t>
            </w:r>
            <w:r>
              <w:rPr>
                <w:sz w:val="24"/>
                <w:szCs w:val="24"/>
              </w:rPr>
            </w:r>
            <w:r>
              <w:rPr>
                <w:sz w:val="24"/>
                <w:szCs w:val="24"/>
              </w:rPr>
            </w:r>
          </w:p>
        </w:tc>
        <w:tc>
          <w:tcPr>
            <w:shd w:val="clear" w:color="auto" w:fill="ffffff"/>
            <w:tcBorders>
              <w:top w:val="none" w:color="000000" w:sz="4" w:space="0"/>
              <w:left w:val="none" w:color="000000" w:sz="4" w:space="0"/>
              <w:bottom w:val="single" w:color="000000" w:sz="4" w:space="0"/>
              <w:right w:val="single" w:color="000000" w:sz="4" w:space="0"/>
            </w:tcBorders>
            <w:tcW w:w="1417" w:type="dxa"/>
            <w:vAlign w:val="center"/>
            <w:textDirection w:val="lrTb"/>
            <w:noWrap w:val="false"/>
          </w:tcPr>
          <w:p>
            <w:pPr>
              <w:pStyle w:val="934"/>
              <w:jc w:val="center"/>
              <w:spacing w:line="276" w:lineRule="auto"/>
              <w:rPr>
                <w:sz w:val="24"/>
                <w:szCs w:val="24"/>
              </w:rPr>
            </w:pPr>
            <w:r>
              <w:rPr>
                <w:sz w:val="24"/>
                <w:szCs w:val="24"/>
              </w:rPr>
              <w:t xml:space="preserve">164</w:t>
            </w:r>
            <w:r>
              <w:rPr>
                <w:sz w:val="24"/>
                <w:szCs w:val="24"/>
              </w:rPr>
            </w:r>
            <w:r>
              <w:rPr>
                <w:sz w:val="24"/>
                <w:szCs w:val="24"/>
              </w:rPr>
            </w:r>
          </w:p>
        </w:tc>
        <w:tc>
          <w:tcPr>
            <w:shd w:val="clear" w:color="auto" w:fill="ffffff"/>
            <w:tcBorders>
              <w:top w:val="none" w:color="000000" w:sz="4" w:space="0"/>
              <w:left w:val="none" w:color="000000" w:sz="4" w:space="0"/>
              <w:bottom w:val="single" w:color="000000" w:sz="4" w:space="0"/>
              <w:right w:val="single" w:color="000000" w:sz="4" w:space="0"/>
            </w:tcBorders>
            <w:tcW w:w="1701" w:type="dxa"/>
            <w:vAlign w:val="center"/>
            <w:textDirection w:val="lrTb"/>
            <w:noWrap w:val="false"/>
          </w:tcPr>
          <w:p>
            <w:pPr>
              <w:pStyle w:val="934"/>
              <w:jc w:val="center"/>
              <w:spacing w:line="276" w:lineRule="auto"/>
              <w:rPr>
                <w:sz w:val="24"/>
                <w:szCs w:val="24"/>
              </w:rPr>
            </w:pPr>
            <w:r>
              <w:rPr>
                <w:sz w:val="24"/>
                <w:szCs w:val="24"/>
              </w:rPr>
              <w:t xml:space="preserve">169</w:t>
            </w:r>
            <w:r>
              <w:rPr>
                <w:sz w:val="24"/>
                <w:szCs w:val="24"/>
              </w:rPr>
            </w:r>
            <w:r>
              <w:rPr>
                <w:sz w:val="24"/>
                <w:szCs w:val="24"/>
              </w:rPr>
            </w:r>
          </w:p>
        </w:tc>
        <w:tc>
          <w:tcPr>
            <w:shd w:val="clear" w:color="auto" w:fill="ffffff"/>
            <w:tcBorders>
              <w:top w:val="none" w:color="000000" w:sz="4" w:space="0"/>
              <w:left w:val="none" w:color="000000" w:sz="4" w:space="0"/>
              <w:bottom w:val="single" w:color="000000" w:sz="4" w:space="0"/>
              <w:right w:val="single" w:color="000000" w:sz="4" w:space="0"/>
            </w:tcBorders>
            <w:tcW w:w="1079" w:type="dxa"/>
            <w:vAlign w:val="center"/>
            <w:textDirection w:val="lrTb"/>
            <w:noWrap w:val="false"/>
          </w:tcPr>
          <w:p>
            <w:pPr>
              <w:pStyle w:val="934"/>
              <w:jc w:val="center"/>
              <w:spacing w:line="276" w:lineRule="auto"/>
              <w:rPr>
                <w:sz w:val="24"/>
                <w:szCs w:val="24"/>
              </w:rPr>
            </w:pPr>
            <w:r>
              <w:rPr>
                <w:sz w:val="24"/>
                <w:szCs w:val="24"/>
              </w:rPr>
              <w:t xml:space="preserve">103</w:t>
            </w:r>
            <w:r>
              <w:rPr>
                <w:sz w:val="24"/>
                <w:szCs w:val="24"/>
              </w:rPr>
            </w:r>
            <w:r>
              <w:rPr>
                <w:sz w:val="24"/>
                <w:szCs w:val="24"/>
              </w:rPr>
            </w:r>
          </w:p>
        </w:tc>
      </w:tr>
      <w:tr>
        <w:tblPrEx/>
        <w:trPr>
          <w:trHeight w:val="1408"/>
        </w:trPr>
        <w:tc>
          <w:tcPr>
            <w:shd w:val="clear" w:color="auto" w:fill="ffffff"/>
            <w:tcBorders>
              <w:top w:val="none" w:color="000000" w:sz="4" w:space="0"/>
              <w:left w:val="single" w:color="000000" w:sz="4" w:space="0"/>
              <w:bottom w:val="single" w:color="000000" w:sz="4" w:space="0"/>
              <w:right w:val="single" w:color="000000" w:sz="4" w:space="0"/>
            </w:tcBorders>
            <w:tcW w:w="601" w:type="dxa"/>
            <w:vAlign w:val="top"/>
            <w:textDirection w:val="lrTb"/>
            <w:noWrap w:val="false"/>
          </w:tcPr>
          <w:p>
            <w:pPr>
              <w:pStyle w:val="934"/>
              <w:spacing w:line="276" w:lineRule="auto"/>
              <w:rPr>
                <w:sz w:val="24"/>
                <w:szCs w:val="24"/>
              </w:rPr>
            </w:pPr>
            <w:r>
              <w:rPr>
                <w:sz w:val="24"/>
                <w:szCs w:val="24"/>
              </w:rPr>
              <w:t xml:space="preserve">3.</w:t>
            </w:r>
            <w:r>
              <w:rPr>
                <w:sz w:val="24"/>
                <w:szCs w:val="24"/>
              </w:rPr>
            </w:r>
            <w:r>
              <w:rPr>
                <w:sz w:val="24"/>
                <w:szCs w:val="24"/>
              </w:rPr>
            </w:r>
          </w:p>
        </w:tc>
        <w:tc>
          <w:tcPr>
            <w:shd w:val="clear" w:color="auto" w:fill="ffffff"/>
            <w:tcBorders>
              <w:top w:val="none" w:color="000000" w:sz="4" w:space="0"/>
              <w:left w:val="none" w:color="000000" w:sz="4" w:space="0"/>
              <w:bottom w:val="single" w:color="000000" w:sz="4" w:space="0"/>
              <w:right w:val="single" w:color="000000" w:sz="4" w:space="0"/>
            </w:tcBorders>
            <w:tcW w:w="4791" w:type="dxa"/>
            <w:vAlign w:val="top"/>
            <w:textDirection w:val="lrTb"/>
            <w:noWrap w:val="false"/>
          </w:tcPr>
          <w:p>
            <w:pPr>
              <w:pStyle w:val="934"/>
              <w:spacing w:line="276" w:lineRule="auto"/>
              <w:rPr>
                <w:sz w:val="24"/>
                <w:szCs w:val="24"/>
              </w:rPr>
            </w:pPr>
            <w:r>
              <w:rPr>
                <w:sz w:val="24"/>
                <w:szCs w:val="24"/>
              </w:rPr>
              <w:t xml:space="preserve">Субвенция на предоставление мер социальной поддержки ветеранов труда, ветеранов труда ХМАО - Югры, тружеников тыла и реабилитированных лиц</w:t>
            </w:r>
            <w:r>
              <w:rPr>
                <w:sz w:val="24"/>
                <w:szCs w:val="24"/>
              </w:rPr>
            </w:r>
            <w:r>
              <w:rPr>
                <w:sz w:val="24"/>
                <w:szCs w:val="24"/>
              </w:rPr>
            </w:r>
          </w:p>
        </w:tc>
        <w:tc>
          <w:tcPr>
            <w:shd w:val="clear" w:color="auto" w:fill="ffffff"/>
            <w:tcBorders>
              <w:top w:val="none" w:color="000000" w:sz="4" w:space="0"/>
              <w:left w:val="none" w:color="000000" w:sz="4" w:space="0"/>
              <w:bottom w:val="single" w:color="000000" w:sz="4" w:space="0"/>
              <w:right w:val="single" w:color="000000" w:sz="4" w:space="0"/>
            </w:tcBorders>
            <w:tcW w:w="1417" w:type="dxa"/>
            <w:vAlign w:val="center"/>
            <w:textDirection w:val="lrTb"/>
            <w:noWrap w:val="false"/>
          </w:tcPr>
          <w:p>
            <w:pPr>
              <w:pStyle w:val="934"/>
              <w:jc w:val="center"/>
              <w:spacing w:line="276" w:lineRule="auto"/>
              <w:rPr>
                <w:sz w:val="24"/>
                <w:szCs w:val="24"/>
              </w:rPr>
            </w:pPr>
            <w:r>
              <w:rPr>
                <w:sz w:val="24"/>
                <w:szCs w:val="24"/>
              </w:rPr>
              <w:t xml:space="preserve">1172</w:t>
            </w:r>
            <w:r>
              <w:rPr>
                <w:sz w:val="24"/>
                <w:szCs w:val="24"/>
              </w:rPr>
            </w:r>
            <w:r>
              <w:rPr>
                <w:sz w:val="24"/>
                <w:szCs w:val="24"/>
              </w:rPr>
            </w:r>
          </w:p>
        </w:tc>
        <w:tc>
          <w:tcPr>
            <w:shd w:val="clear" w:color="auto" w:fill="ffffff"/>
            <w:tcBorders>
              <w:top w:val="none" w:color="000000" w:sz="4" w:space="0"/>
              <w:left w:val="none" w:color="000000" w:sz="4" w:space="0"/>
              <w:bottom w:val="single" w:color="000000" w:sz="4" w:space="0"/>
              <w:right w:val="single" w:color="000000" w:sz="4" w:space="0"/>
            </w:tcBorders>
            <w:tcW w:w="1701" w:type="dxa"/>
            <w:vAlign w:val="center"/>
            <w:textDirection w:val="lrTb"/>
            <w:noWrap w:val="false"/>
          </w:tcPr>
          <w:p>
            <w:pPr>
              <w:pStyle w:val="934"/>
              <w:jc w:val="center"/>
              <w:spacing w:line="276" w:lineRule="auto"/>
              <w:rPr>
                <w:sz w:val="24"/>
                <w:szCs w:val="24"/>
              </w:rPr>
            </w:pPr>
            <w:r>
              <w:rPr>
                <w:sz w:val="24"/>
                <w:szCs w:val="24"/>
              </w:rPr>
              <w:t xml:space="preserve">1129</w:t>
            </w:r>
            <w:r>
              <w:rPr>
                <w:sz w:val="24"/>
                <w:szCs w:val="24"/>
              </w:rPr>
            </w:r>
            <w:r>
              <w:rPr>
                <w:sz w:val="24"/>
                <w:szCs w:val="24"/>
              </w:rPr>
            </w:r>
          </w:p>
        </w:tc>
        <w:tc>
          <w:tcPr>
            <w:shd w:val="clear" w:color="auto" w:fill="ffffff"/>
            <w:tcBorders>
              <w:top w:val="none" w:color="000000" w:sz="4" w:space="0"/>
              <w:left w:val="none" w:color="000000" w:sz="4" w:space="0"/>
              <w:bottom w:val="single" w:color="000000" w:sz="4" w:space="0"/>
              <w:right w:val="single" w:color="000000" w:sz="4" w:space="0"/>
            </w:tcBorders>
            <w:tcW w:w="1079" w:type="dxa"/>
            <w:vAlign w:val="center"/>
            <w:textDirection w:val="lrTb"/>
            <w:noWrap w:val="false"/>
          </w:tcPr>
          <w:p>
            <w:pPr>
              <w:pStyle w:val="934"/>
              <w:jc w:val="center"/>
              <w:spacing w:line="276" w:lineRule="auto"/>
              <w:rPr>
                <w:sz w:val="24"/>
                <w:szCs w:val="24"/>
              </w:rPr>
            </w:pPr>
            <w:r>
              <w:rPr>
                <w:sz w:val="24"/>
                <w:szCs w:val="24"/>
              </w:rPr>
              <w:t xml:space="preserve">96</w:t>
            </w:r>
            <w:r>
              <w:rPr>
                <w:sz w:val="24"/>
                <w:szCs w:val="24"/>
              </w:rPr>
            </w:r>
            <w:r>
              <w:rPr>
                <w:sz w:val="24"/>
                <w:szCs w:val="24"/>
              </w:rPr>
            </w:r>
          </w:p>
        </w:tc>
      </w:tr>
      <w:tr>
        <w:tblPrEx/>
        <w:trPr>
          <w:trHeight w:val="1014"/>
        </w:trPr>
        <w:tc>
          <w:tcPr>
            <w:shd w:val="clear" w:color="auto" w:fill="ffffff"/>
            <w:tcBorders>
              <w:top w:val="none" w:color="000000" w:sz="4" w:space="0"/>
              <w:left w:val="single" w:color="000000" w:sz="4" w:space="0"/>
              <w:bottom w:val="single" w:color="000000" w:sz="4" w:space="0"/>
              <w:right w:val="single" w:color="000000" w:sz="4" w:space="0"/>
            </w:tcBorders>
            <w:tcW w:w="601" w:type="dxa"/>
            <w:vAlign w:val="top"/>
            <w:textDirection w:val="lrTb"/>
            <w:noWrap w:val="false"/>
          </w:tcPr>
          <w:p>
            <w:pPr>
              <w:pStyle w:val="934"/>
              <w:spacing w:line="276" w:lineRule="auto"/>
              <w:rPr>
                <w:sz w:val="24"/>
                <w:szCs w:val="24"/>
              </w:rPr>
            </w:pPr>
            <w:r>
              <w:rPr>
                <w:sz w:val="24"/>
                <w:szCs w:val="24"/>
              </w:rPr>
              <w:t xml:space="preserve">4.</w:t>
            </w:r>
            <w:r>
              <w:rPr>
                <w:sz w:val="24"/>
                <w:szCs w:val="24"/>
              </w:rPr>
            </w:r>
            <w:r>
              <w:rPr>
                <w:sz w:val="24"/>
                <w:szCs w:val="24"/>
              </w:rPr>
            </w:r>
          </w:p>
        </w:tc>
        <w:tc>
          <w:tcPr>
            <w:shd w:val="clear" w:color="auto" w:fill="ffffff"/>
            <w:tcBorders>
              <w:top w:val="none" w:color="000000" w:sz="4" w:space="0"/>
              <w:left w:val="none" w:color="000000" w:sz="4" w:space="0"/>
              <w:bottom w:val="single" w:color="000000" w:sz="4" w:space="0"/>
              <w:right w:val="single" w:color="000000" w:sz="4" w:space="0"/>
            </w:tcBorders>
            <w:tcW w:w="4791" w:type="dxa"/>
            <w:vAlign w:val="top"/>
            <w:textDirection w:val="lrTb"/>
            <w:noWrap w:val="false"/>
          </w:tcPr>
          <w:p>
            <w:pPr>
              <w:pStyle w:val="934"/>
              <w:spacing w:line="276" w:lineRule="auto"/>
              <w:rPr>
                <w:sz w:val="24"/>
                <w:szCs w:val="24"/>
              </w:rPr>
            </w:pPr>
            <w:r>
              <w:rPr>
                <w:sz w:val="24"/>
                <w:szCs w:val="24"/>
              </w:rPr>
              <w:t xml:space="preserve">Субвенция на предоставление материальной помощи и иной помощи для погребения</w:t>
            </w:r>
            <w:r>
              <w:rPr>
                <w:sz w:val="24"/>
                <w:szCs w:val="24"/>
              </w:rPr>
            </w:r>
            <w:r>
              <w:rPr>
                <w:sz w:val="24"/>
                <w:szCs w:val="24"/>
              </w:rPr>
            </w:r>
          </w:p>
        </w:tc>
        <w:tc>
          <w:tcPr>
            <w:shd w:val="clear" w:color="auto" w:fill="ffffff"/>
            <w:tcBorders>
              <w:top w:val="none" w:color="000000" w:sz="4" w:space="0"/>
              <w:left w:val="none" w:color="000000" w:sz="4" w:space="0"/>
              <w:bottom w:val="single" w:color="000000" w:sz="4" w:space="0"/>
              <w:right w:val="single" w:color="000000" w:sz="4" w:space="0"/>
            </w:tcBorders>
            <w:tcW w:w="1417" w:type="dxa"/>
            <w:vAlign w:val="center"/>
            <w:textDirection w:val="lrTb"/>
            <w:noWrap w:val="false"/>
          </w:tcPr>
          <w:p>
            <w:pPr>
              <w:pStyle w:val="934"/>
              <w:jc w:val="center"/>
              <w:spacing w:line="276" w:lineRule="auto"/>
              <w:rPr>
                <w:sz w:val="24"/>
                <w:szCs w:val="24"/>
              </w:rPr>
            </w:pPr>
            <w:r>
              <w:rPr>
                <w:sz w:val="24"/>
                <w:szCs w:val="24"/>
              </w:rPr>
              <w:t xml:space="preserve">10</w:t>
            </w:r>
            <w:r>
              <w:rPr>
                <w:sz w:val="24"/>
                <w:szCs w:val="24"/>
              </w:rPr>
            </w:r>
            <w:r>
              <w:rPr>
                <w:sz w:val="24"/>
                <w:szCs w:val="24"/>
              </w:rPr>
            </w:r>
          </w:p>
        </w:tc>
        <w:tc>
          <w:tcPr>
            <w:shd w:val="clear" w:color="auto" w:fill="ffffff"/>
            <w:tcBorders>
              <w:top w:val="none" w:color="000000" w:sz="4" w:space="0"/>
              <w:left w:val="none" w:color="000000" w:sz="4" w:space="0"/>
              <w:bottom w:val="single" w:color="000000" w:sz="4" w:space="0"/>
              <w:right w:val="single" w:color="000000" w:sz="4" w:space="0"/>
            </w:tcBorders>
            <w:tcW w:w="1701" w:type="dxa"/>
            <w:vAlign w:val="center"/>
            <w:textDirection w:val="lrTb"/>
            <w:noWrap w:val="false"/>
          </w:tcPr>
          <w:p>
            <w:pPr>
              <w:pStyle w:val="934"/>
              <w:jc w:val="center"/>
              <w:spacing w:line="276" w:lineRule="auto"/>
              <w:rPr>
                <w:sz w:val="24"/>
                <w:szCs w:val="24"/>
              </w:rPr>
            </w:pPr>
            <w:r>
              <w:rPr>
                <w:sz w:val="24"/>
                <w:szCs w:val="24"/>
              </w:rPr>
              <w:t xml:space="preserve">16</w:t>
            </w:r>
            <w:r>
              <w:rPr>
                <w:sz w:val="24"/>
                <w:szCs w:val="24"/>
              </w:rPr>
            </w:r>
            <w:r>
              <w:rPr>
                <w:sz w:val="24"/>
                <w:szCs w:val="24"/>
              </w:rPr>
            </w:r>
          </w:p>
        </w:tc>
        <w:tc>
          <w:tcPr>
            <w:shd w:val="clear" w:color="auto" w:fill="ffffff"/>
            <w:tcBorders>
              <w:top w:val="none" w:color="000000" w:sz="4" w:space="0"/>
              <w:left w:val="none" w:color="000000" w:sz="4" w:space="0"/>
              <w:bottom w:val="single" w:color="000000" w:sz="4" w:space="0"/>
              <w:right w:val="single" w:color="000000" w:sz="4" w:space="0"/>
            </w:tcBorders>
            <w:tcW w:w="1079" w:type="dxa"/>
            <w:vAlign w:val="center"/>
            <w:textDirection w:val="lrTb"/>
            <w:noWrap w:val="false"/>
          </w:tcPr>
          <w:p>
            <w:pPr>
              <w:pStyle w:val="934"/>
              <w:jc w:val="center"/>
              <w:spacing w:line="276" w:lineRule="auto"/>
              <w:rPr>
                <w:sz w:val="24"/>
                <w:szCs w:val="24"/>
              </w:rPr>
            </w:pPr>
            <w:r>
              <w:rPr>
                <w:sz w:val="24"/>
                <w:szCs w:val="24"/>
              </w:rPr>
              <w:t xml:space="preserve">16</w:t>
            </w:r>
            <w:r>
              <w:rPr>
                <w:sz w:val="24"/>
                <w:szCs w:val="24"/>
              </w:rPr>
              <w:t xml:space="preserve">0</w:t>
            </w:r>
            <w:r>
              <w:rPr>
                <w:sz w:val="24"/>
                <w:szCs w:val="24"/>
              </w:rPr>
            </w:r>
            <w:r>
              <w:rPr>
                <w:sz w:val="24"/>
                <w:szCs w:val="24"/>
              </w:rPr>
            </w:r>
          </w:p>
        </w:tc>
      </w:tr>
      <w:tr>
        <w:tblPrEx/>
        <w:trPr>
          <w:trHeight w:val="121"/>
        </w:trPr>
        <w:tc>
          <w:tcPr>
            <w:shd w:val="clear" w:color="auto" w:fill="ffffff"/>
            <w:tcBorders>
              <w:top w:val="none" w:color="000000" w:sz="4" w:space="0"/>
              <w:left w:val="single" w:color="000000" w:sz="4" w:space="0"/>
              <w:bottom w:val="single" w:color="000000" w:sz="4" w:space="0"/>
              <w:right w:val="single" w:color="000000" w:sz="4" w:space="0"/>
            </w:tcBorders>
            <w:tcW w:w="601" w:type="dxa"/>
            <w:vAlign w:val="top"/>
            <w:textDirection w:val="lrTb"/>
            <w:noWrap w:val="false"/>
          </w:tcPr>
          <w:p>
            <w:pPr>
              <w:pStyle w:val="934"/>
              <w:spacing w:line="276" w:lineRule="auto"/>
              <w:rPr>
                <w:sz w:val="24"/>
                <w:szCs w:val="24"/>
              </w:rPr>
            </w:pPr>
            <w:r>
              <w:rPr>
                <w:sz w:val="24"/>
                <w:szCs w:val="24"/>
              </w:rPr>
              <w:t xml:space="preserve">5.</w:t>
            </w:r>
            <w:r>
              <w:rPr>
                <w:sz w:val="24"/>
                <w:szCs w:val="24"/>
              </w:rPr>
            </w:r>
            <w:r>
              <w:rPr>
                <w:sz w:val="24"/>
                <w:szCs w:val="24"/>
              </w:rPr>
            </w:r>
          </w:p>
        </w:tc>
        <w:tc>
          <w:tcPr>
            <w:shd w:val="clear" w:color="auto" w:fill="ffffff"/>
            <w:tcBorders>
              <w:top w:val="none" w:color="000000" w:sz="4" w:space="0"/>
              <w:left w:val="none" w:color="000000" w:sz="4" w:space="0"/>
              <w:bottom w:val="single" w:color="000000" w:sz="4" w:space="0"/>
              <w:right w:val="single" w:color="000000" w:sz="4" w:space="0"/>
            </w:tcBorders>
            <w:tcW w:w="4791" w:type="dxa"/>
            <w:vAlign w:val="bottom"/>
            <w:textDirection w:val="lrTb"/>
            <w:noWrap w:val="false"/>
          </w:tcPr>
          <w:p>
            <w:pPr>
              <w:pStyle w:val="934"/>
              <w:spacing w:line="276" w:lineRule="auto"/>
              <w:rPr>
                <w:sz w:val="24"/>
                <w:szCs w:val="24"/>
              </w:rPr>
            </w:pPr>
            <w:r>
              <w:rPr>
                <w:sz w:val="24"/>
                <w:szCs w:val="24"/>
              </w:rPr>
              <w:t xml:space="preserve">Субвенция на оказание государственной социальной помощи</w:t>
            </w:r>
            <w:r>
              <w:rPr>
                <w:sz w:val="24"/>
                <w:szCs w:val="24"/>
              </w:rPr>
            </w:r>
            <w:r>
              <w:rPr>
                <w:sz w:val="24"/>
                <w:szCs w:val="24"/>
              </w:rPr>
            </w:r>
          </w:p>
        </w:tc>
        <w:tc>
          <w:tcPr>
            <w:shd w:val="clear" w:color="auto" w:fill="ffffff"/>
            <w:tcBorders>
              <w:top w:val="none" w:color="000000" w:sz="4" w:space="0"/>
              <w:left w:val="none" w:color="000000" w:sz="4" w:space="0"/>
              <w:bottom w:val="single" w:color="000000" w:sz="4" w:space="0"/>
              <w:right w:val="single" w:color="000000" w:sz="4" w:space="0"/>
            </w:tcBorders>
            <w:tcW w:w="1417" w:type="dxa"/>
            <w:vAlign w:val="center"/>
            <w:textDirection w:val="lrTb"/>
            <w:noWrap w:val="false"/>
          </w:tcPr>
          <w:p>
            <w:pPr>
              <w:pStyle w:val="934"/>
              <w:jc w:val="center"/>
              <w:spacing w:line="276" w:lineRule="auto"/>
              <w:rPr>
                <w:sz w:val="24"/>
                <w:szCs w:val="24"/>
              </w:rPr>
            </w:pPr>
            <w:r>
              <w:rPr>
                <w:sz w:val="24"/>
                <w:szCs w:val="24"/>
              </w:rPr>
              <w:t xml:space="preserve">176</w:t>
            </w:r>
            <w:r>
              <w:rPr>
                <w:sz w:val="24"/>
                <w:szCs w:val="24"/>
              </w:rPr>
            </w:r>
            <w:r>
              <w:rPr>
                <w:sz w:val="24"/>
                <w:szCs w:val="24"/>
              </w:rPr>
            </w:r>
          </w:p>
        </w:tc>
        <w:tc>
          <w:tcPr>
            <w:shd w:val="clear" w:color="auto" w:fill="ffffff"/>
            <w:tcBorders>
              <w:top w:val="none" w:color="000000" w:sz="4" w:space="0"/>
              <w:left w:val="none" w:color="000000" w:sz="4" w:space="0"/>
              <w:bottom w:val="single" w:color="000000" w:sz="4" w:space="0"/>
              <w:right w:val="single" w:color="000000" w:sz="4" w:space="0"/>
            </w:tcBorders>
            <w:tcW w:w="1701" w:type="dxa"/>
            <w:vAlign w:val="center"/>
            <w:textDirection w:val="lrTb"/>
            <w:noWrap w:val="false"/>
          </w:tcPr>
          <w:p>
            <w:pPr>
              <w:pStyle w:val="934"/>
              <w:jc w:val="center"/>
              <w:spacing w:line="276" w:lineRule="auto"/>
              <w:rPr>
                <w:sz w:val="24"/>
                <w:szCs w:val="24"/>
              </w:rPr>
            </w:pPr>
            <w:r>
              <w:rPr>
                <w:sz w:val="24"/>
                <w:szCs w:val="24"/>
              </w:rPr>
              <w:t xml:space="preserve">199</w:t>
            </w:r>
            <w:r>
              <w:rPr>
                <w:sz w:val="24"/>
                <w:szCs w:val="24"/>
              </w:rPr>
            </w:r>
            <w:r>
              <w:rPr>
                <w:sz w:val="24"/>
                <w:szCs w:val="24"/>
              </w:rPr>
            </w:r>
          </w:p>
        </w:tc>
        <w:tc>
          <w:tcPr>
            <w:shd w:val="clear" w:color="auto" w:fill="ffffff"/>
            <w:tcBorders>
              <w:top w:val="none" w:color="000000" w:sz="4" w:space="0"/>
              <w:left w:val="none" w:color="000000" w:sz="4" w:space="0"/>
              <w:bottom w:val="single" w:color="000000" w:sz="4" w:space="0"/>
              <w:right w:val="single" w:color="000000" w:sz="4" w:space="0"/>
            </w:tcBorders>
            <w:tcW w:w="1079" w:type="dxa"/>
            <w:vAlign w:val="center"/>
            <w:textDirection w:val="lrTb"/>
            <w:noWrap w:val="false"/>
          </w:tcPr>
          <w:p>
            <w:pPr>
              <w:pStyle w:val="934"/>
              <w:jc w:val="center"/>
              <w:spacing w:line="276" w:lineRule="auto"/>
              <w:rPr>
                <w:sz w:val="24"/>
                <w:szCs w:val="24"/>
              </w:rPr>
            </w:pPr>
            <w:r>
              <w:rPr>
                <w:sz w:val="24"/>
                <w:szCs w:val="24"/>
              </w:rPr>
              <w:t xml:space="preserve">113</w:t>
            </w:r>
            <w:r>
              <w:rPr>
                <w:sz w:val="24"/>
                <w:szCs w:val="24"/>
              </w:rPr>
            </w:r>
            <w:r>
              <w:rPr>
                <w:sz w:val="24"/>
                <w:szCs w:val="24"/>
              </w:rPr>
            </w:r>
          </w:p>
        </w:tc>
      </w:tr>
      <w:tr>
        <w:tblPrEx/>
        <w:trPr>
          <w:trHeight w:val="510"/>
        </w:trPr>
        <w:tc>
          <w:tcPr>
            <w:shd w:val="clear" w:color="auto" w:fill="ffffff"/>
            <w:tcBorders>
              <w:top w:val="none" w:color="000000" w:sz="4" w:space="0"/>
              <w:left w:val="single" w:color="000000" w:sz="4" w:space="0"/>
              <w:bottom w:val="single" w:color="000000" w:sz="4" w:space="0"/>
              <w:right w:val="single" w:color="000000" w:sz="4" w:space="0"/>
            </w:tcBorders>
            <w:tcW w:w="601" w:type="dxa"/>
            <w:vAlign w:val="top"/>
            <w:textDirection w:val="lrTb"/>
            <w:noWrap w:val="false"/>
          </w:tcPr>
          <w:p>
            <w:pPr>
              <w:pStyle w:val="934"/>
              <w:spacing w:line="276" w:lineRule="auto"/>
              <w:rPr>
                <w:sz w:val="24"/>
                <w:szCs w:val="24"/>
              </w:rPr>
            </w:pPr>
            <w:r>
              <w:rPr>
                <w:sz w:val="24"/>
                <w:szCs w:val="24"/>
              </w:rPr>
              <w:t xml:space="preserve">6.</w:t>
            </w:r>
            <w:r>
              <w:rPr>
                <w:sz w:val="24"/>
                <w:szCs w:val="24"/>
              </w:rPr>
            </w:r>
            <w:r>
              <w:rPr>
                <w:sz w:val="24"/>
                <w:szCs w:val="24"/>
              </w:rPr>
            </w:r>
          </w:p>
        </w:tc>
        <w:tc>
          <w:tcPr>
            <w:shd w:val="clear" w:color="auto" w:fill="ffffff"/>
            <w:tcBorders>
              <w:top w:val="none" w:color="000000" w:sz="4" w:space="0"/>
              <w:left w:val="none" w:color="000000" w:sz="4" w:space="0"/>
              <w:bottom w:val="single" w:color="000000" w:sz="4" w:space="0"/>
              <w:right w:val="single" w:color="000000" w:sz="4" w:space="0"/>
            </w:tcBorders>
            <w:tcW w:w="4791" w:type="dxa"/>
            <w:vAlign w:val="bottom"/>
            <w:textDirection w:val="lrTb"/>
            <w:noWrap w:val="false"/>
          </w:tcPr>
          <w:p>
            <w:pPr>
              <w:pStyle w:val="934"/>
              <w:spacing w:line="276" w:lineRule="auto"/>
              <w:rPr>
                <w:sz w:val="24"/>
                <w:szCs w:val="24"/>
              </w:rPr>
            </w:pPr>
            <w:r>
              <w:rPr>
                <w:sz w:val="24"/>
                <w:szCs w:val="24"/>
              </w:rPr>
              <w:t xml:space="preserve">Субвенция на предоставление мер социальной поддержки многодетных семей</w:t>
            </w:r>
            <w:r>
              <w:rPr>
                <w:sz w:val="24"/>
                <w:szCs w:val="24"/>
              </w:rPr>
            </w:r>
            <w:r>
              <w:rPr>
                <w:sz w:val="24"/>
                <w:szCs w:val="24"/>
              </w:rPr>
            </w:r>
          </w:p>
        </w:tc>
        <w:tc>
          <w:tcPr>
            <w:shd w:val="clear" w:color="auto" w:fill="ffffff"/>
            <w:tcBorders>
              <w:top w:val="none" w:color="000000" w:sz="4" w:space="0"/>
              <w:left w:val="none" w:color="000000" w:sz="4" w:space="0"/>
              <w:bottom w:val="single" w:color="000000" w:sz="4" w:space="0"/>
              <w:right w:val="single" w:color="000000" w:sz="4" w:space="0"/>
            </w:tcBorders>
            <w:tcW w:w="1417" w:type="dxa"/>
            <w:vAlign w:val="center"/>
            <w:textDirection w:val="lrTb"/>
            <w:noWrap w:val="false"/>
          </w:tcPr>
          <w:p>
            <w:pPr>
              <w:pStyle w:val="934"/>
              <w:jc w:val="center"/>
              <w:spacing w:line="276" w:lineRule="auto"/>
              <w:rPr>
                <w:sz w:val="24"/>
                <w:szCs w:val="24"/>
              </w:rPr>
            </w:pPr>
            <w:r>
              <w:rPr>
                <w:sz w:val="24"/>
                <w:szCs w:val="24"/>
              </w:rPr>
              <w:t xml:space="preserve">606</w:t>
            </w:r>
            <w:r>
              <w:rPr>
                <w:sz w:val="24"/>
                <w:szCs w:val="24"/>
              </w:rPr>
              <w:t xml:space="preserve"> сем.</w:t>
            </w:r>
            <w:r>
              <w:rPr>
                <w:sz w:val="24"/>
                <w:szCs w:val="24"/>
              </w:rPr>
            </w:r>
            <w:r>
              <w:rPr>
                <w:sz w:val="24"/>
                <w:szCs w:val="24"/>
              </w:rPr>
            </w:r>
          </w:p>
          <w:p>
            <w:pPr>
              <w:pStyle w:val="934"/>
              <w:jc w:val="center"/>
              <w:spacing w:line="276" w:lineRule="auto"/>
              <w:rPr>
                <w:sz w:val="24"/>
                <w:szCs w:val="24"/>
              </w:rPr>
            </w:pPr>
            <w:r>
              <w:rPr>
                <w:sz w:val="24"/>
                <w:szCs w:val="24"/>
              </w:rPr>
              <w:t xml:space="preserve">1</w:t>
            </w:r>
            <w:r>
              <w:rPr>
                <w:sz w:val="24"/>
                <w:szCs w:val="24"/>
              </w:rPr>
              <w:t xml:space="preserve">847</w:t>
            </w:r>
            <w:r>
              <w:rPr>
                <w:sz w:val="24"/>
                <w:szCs w:val="24"/>
              </w:rPr>
              <w:t xml:space="preserve"> </w:t>
            </w:r>
            <w:r>
              <w:rPr>
                <w:sz w:val="24"/>
                <w:szCs w:val="24"/>
              </w:rPr>
              <w:t xml:space="preserve">дет.</w:t>
            </w:r>
            <w:r>
              <w:rPr>
                <w:sz w:val="24"/>
                <w:szCs w:val="24"/>
              </w:rPr>
            </w:r>
            <w:r>
              <w:rPr>
                <w:sz w:val="24"/>
                <w:szCs w:val="24"/>
              </w:rPr>
            </w:r>
          </w:p>
        </w:tc>
        <w:tc>
          <w:tcPr>
            <w:shd w:val="clear" w:color="auto" w:fill="ffffff"/>
            <w:tcBorders>
              <w:top w:val="none" w:color="000000" w:sz="4" w:space="0"/>
              <w:left w:val="none" w:color="000000" w:sz="4" w:space="0"/>
              <w:bottom w:val="single" w:color="000000" w:sz="4" w:space="0"/>
              <w:right w:val="single" w:color="000000" w:sz="4" w:space="0"/>
            </w:tcBorders>
            <w:tcW w:w="1701" w:type="dxa"/>
            <w:vAlign w:val="center"/>
            <w:textDirection w:val="lrTb"/>
            <w:noWrap w:val="false"/>
          </w:tcPr>
          <w:p>
            <w:pPr>
              <w:pStyle w:val="934"/>
              <w:jc w:val="center"/>
              <w:spacing w:line="276" w:lineRule="auto"/>
              <w:rPr>
                <w:sz w:val="24"/>
                <w:szCs w:val="24"/>
              </w:rPr>
            </w:pPr>
            <w:r>
              <w:rPr>
                <w:sz w:val="24"/>
                <w:szCs w:val="24"/>
              </w:rPr>
              <w:t xml:space="preserve">642</w:t>
            </w:r>
            <w:r>
              <w:rPr>
                <w:sz w:val="24"/>
                <w:szCs w:val="24"/>
              </w:rPr>
              <w:t xml:space="preserve"> сем.</w:t>
            </w:r>
            <w:r>
              <w:rPr>
                <w:sz w:val="24"/>
                <w:szCs w:val="24"/>
              </w:rPr>
            </w:r>
            <w:r>
              <w:rPr>
                <w:sz w:val="24"/>
                <w:szCs w:val="24"/>
              </w:rPr>
            </w:r>
          </w:p>
          <w:p>
            <w:pPr>
              <w:pStyle w:val="934"/>
              <w:jc w:val="center"/>
              <w:spacing w:line="276" w:lineRule="auto"/>
              <w:rPr>
                <w:sz w:val="24"/>
                <w:szCs w:val="24"/>
              </w:rPr>
            </w:pPr>
            <w:r>
              <w:rPr>
                <w:sz w:val="24"/>
                <w:szCs w:val="24"/>
              </w:rPr>
              <w:t xml:space="preserve">1</w:t>
            </w:r>
            <w:r>
              <w:rPr>
                <w:sz w:val="24"/>
                <w:szCs w:val="24"/>
              </w:rPr>
              <w:t xml:space="preserve">929</w:t>
            </w:r>
            <w:r>
              <w:rPr>
                <w:sz w:val="24"/>
                <w:szCs w:val="24"/>
              </w:rPr>
              <w:t xml:space="preserve"> дет.</w:t>
            </w:r>
            <w:r>
              <w:rPr>
                <w:sz w:val="24"/>
                <w:szCs w:val="24"/>
              </w:rPr>
            </w:r>
            <w:r>
              <w:rPr>
                <w:sz w:val="24"/>
                <w:szCs w:val="24"/>
              </w:rPr>
            </w:r>
          </w:p>
        </w:tc>
        <w:tc>
          <w:tcPr>
            <w:shd w:val="clear" w:color="auto" w:fill="ffffff"/>
            <w:tcBorders>
              <w:top w:val="none" w:color="000000" w:sz="4" w:space="0"/>
              <w:left w:val="none" w:color="000000" w:sz="4" w:space="0"/>
              <w:bottom w:val="single" w:color="000000" w:sz="4" w:space="0"/>
              <w:right w:val="single" w:color="000000" w:sz="4" w:space="0"/>
            </w:tcBorders>
            <w:tcW w:w="1079" w:type="dxa"/>
            <w:vAlign w:val="center"/>
            <w:textDirection w:val="lrTb"/>
            <w:noWrap w:val="false"/>
          </w:tcPr>
          <w:p>
            <w:pPr>
              <w:pStyle w:val="934"/>
              <w:jc w:val="center"/>
              <w:spacing w:line="276" w:lineRule="auto"/>
              <w:rPr>
                <w:sz w:val="24"/>
                <w:szCs w:val="24"/>
              </w:rPr>
            </w:pPr>
            <w:r>
              <w:rPr>
                <w:sz w:val="24"/>
                <w:szCs w:val="24"/>
              </w:rPr>
              <w:t xml:space="preserve">9</w:t>
            </w:r>
            <w:r>
              <w:rPr>
                <w:sz w:val="24"/>
                <w:szCs w:val="24"/>
              </w:rPr>
              <w:t xml:space="preserve">9</w:t>
            </w:r>
            <w:r>
              <w:rPr>
                <w:sz w:val="24"/>
                <w:szCs w:val="24"/>
              </w:rPr>
            </w:r>
            <w:r>
              <w:rPr>
                <w:sz w:val="24"/>
                <w:szCs w:val="24"/>
              </w:rPr>
            </w:r>
          </w:p>
        </w:tc>
      </w:tr>
    </w:tbl>
    <w:p>
      <w:pPr>
        <w:pStyle w:val="934"/>
        <w:ind w:firstLine="709"/>
        <w:jc w:val="both"/>
        <w:spacing w:line="276" w:lineRule="auto"/>
        <w:rPr>
          <w:color w:val="ff0000"/>
          <w:sz w:val="24"/>
          <w:szCs w:val="24"/>
        </w:rPr>
      </w:pPr>
      <w:r>
        <w:rPr>
          <w:color w:val="ff0000"/>
          <w:sz w:val="24"/>
          <w:szCs w:val="24"/>
        </w:rPr>
      </w:r>
      <w:r>
        <w:rPr>
          <w:color w:val="ff0000"/>
          <w:sz w:val="24"/>
          <w:szCs w:val="24"/>
        </w:rPr>
      </w:r>
      <w:r>
        <w:rPr>
          <w:color w:val="ff0000"/>
          <w:sz w:val="24"/>
          <w:szCs w:val="24"/>
        </w:rPr>
      </w:r>
    </w:p>
    <w:p>
      <w:pPr>
        <w:pStyle w:val="934"/>
        <w:ind w:firstLine="709"/>
        <w:jc w:val="both"/>
        <w:spacing w:line="276" w:lineRule="auto"/>
        <w:rPr>
          <w:sz w:val="24"/>
          <w:szCs w:val="24"/>
        </w:rPr>
      </w:pPr>
      <w:r>
        <w:rPr>
          <w:sz w:val="24"/>
          <w:szCs w:val="24"/>
        </w:rPr>
        <w:t xml:space="preserve">За 2024 год</w:t>
      </w:r>
      <w:r>
        <w:rPr>
          <w:sz w:val="24"/>
          <w:szCs w:val="24"/>
        </w:rPr>
        <w:t xml:space="preserve"> выплата мер социальной поддержки гражданам из</w:t>
      </w:r>
      <w:r>
        <w:rPr>
          <w:sz w:val="24"/>
          <w:szCs w:val="24"/>
        </w:rPr>
        <w:t xml:space="preserve"> федерального бюджета осуществлена</w:t>
      </w:r>
      <w:r>
        <w:rPr>
          <w:sz w:val="24"/>
          <w:szCs w:val="24"/>
        </w:rPr>
        <w:t xml:space="preserve"> на сумму </w:t>
      </w:r>
      <w:r>
        <w:rPr>
          <w:sz w:val="24"/>
          <w:szCs w:val="24"/>
        </w:rPr>
        <w:t xml:space="preserve">69 927</w:t>
      </w:r>
      <w:r>
        <w:rPr>
          <w:sz w:val="24"/>
          <w:szCs w:val="24"/>
        </w:rPr>
        <w:t xml:space="preserve"> </w:t>
      </w:r>
      <w:r>
        <w:rPr>
          <w:sz w:val="24"/>
          <w:szCs w:val="24"/>
        </w:rPr>
        <w:t xml:space="preserve">тыс. рублей</w:t>
      </w:r>
      <w:r>
        <w:rPr>
          <w:sz w:val="24"/>
          <w:szCs w:val="24"/>
        </w:rPr>
        <w:t xml:space="preserve">, из бюджета автономного округа на сумму </w:t>
      </w:r>
      <w:r>
        <w:rPr>
          <w:sz w:val="24"/>
          <w:szCs w:val="24"/>
        </w:rPr>
        <w:t xml:space="preserve">354 129,8</w:t>
      </w:r>
      <w:r>
        <w:rPr>
          <w:sz w:val="24"/>
          <w:szCs w:val="24"/>
        </w:rPr>
        <w:t xml:space="preserve"> тыс. руб</w:t>
      </w:r>
      <w:r>
        <w:rPr>
          <w:sz w:val="24"/>
          <w:szCs w:val="24"/>
        </w:rPr>
        <w:t xml:space="preserve">лей</w:t>
      </w:r>
      <w:r>
        <w:rPr>
          <w:sz w:val="24"/>
          <w:szCs w:val="24"/>
        </w:rPr>
        <w:t xml:space="preserve">.</w:t>
      </w:r>
      <w:r>
        <w:rPr>
          <w:sz w:val="24"/>
          <w:szCs w:val="24"/>
        </w:rPr>
      </w:r>
      <w:r>
        <w:rPr>
          <w:sz w:val="24"/>
          <w:szCs w:val="24"/>
        </w:rPr>
      </w:r>
    </w:p>
    <w:p>
      <w:pPr>
        <w:pStyle w:val="934"/>
        <w:ind w:firstLine="720"/>
        <w:jc w:val="both"/>
        <w:spacing w:line="300" w:lineRule="auto"/>
        <w:rPr>
          <w:sz w:val="24"/>
          <w:szCs w:val="24"/>
        </w:rPr>
      </w:pPr>
      <w:r>
        <w:rPr>
          <w:sz w:val="24"/>
          <w:szCs w:val="24"/>
        </w:rPr>
        <w:t xml:space="preserve">На социальную поддержку граждан и социально значимые мероприятия в рамках программы Белоярского района «Развитие социальной политики» было направлено    </w:t>
      </w:r>
      <w:r>
        <w:rPr>
          <w:sz w:val="24"/>
          <w:szCs w:val="24"/>
        </w:rPr>
        <w:t xml:space="preserve"> </w:t>
      </w:r>
      <w:r>
        <w:rPr>
          <w:sz w:val="24"/>
          <w:szCs w:val="24"/>
        </w:rPr>
        <w:t xml:space="preserve">   </w:t>
      </w:r>
      <w:r>
        <w:rPr>
          <w:sz w:val="24"/>
          <w:szCs w:val="24"/>
        </w:rPr>
        <w:t xml:space="preserve">24,7</w:t>
      </w:r>
      <w:r>
        <w:rPr>
          <w:sz w:val="24"/>
          <w:szCs w:val="24"/>
        </w:rPr>
        <w:t xml:space="preserve"> млн. рублей:</w:t>
      </w:r>
      <w:r>
        <w:rPr>
          <w:sz w:val="24"/>
          <w:szCs w:val="24"/>
        </w:rPr>
      </w:r>
      <w:r>
        <w:rPr>
          <w:sz w:val="24"/>
          <w:szCs w:val="24"/>
        </w:rPr>
      </w:r>
    </w:p>
    <w:p>
      <w:pPr>
        <w:pStyle w:val="934"/>
        <w:numPr>
          <w:ilvl w:val="0"/>
          <w:numId w:val="24"/>
        </w:numPr>
        <w:ind w:left="0" w:firstLine="709"/>
        <w:jc w:val="both"/>
        <w:spacing w:line="276" w:lineRule="auto"/>
        <w:tabs>
          <w:tab w:val="left" w:pos="993" w:leader="none"/>
        </w:tabs>
        <w:rPr>
          <w:sz w:val="24"/>
          <w:szCs w:val="24"/>
        </w:rPr>
      </w:pPr>
      <w:r>
        <w:rPr>
          <w:sz w:val="24"/>
          <w:szCs w:val="24"/>
        </w:rPr>
        <w:t xml:space="preserve">компенсированы расходы на оплату стоимости проезда к месту получения медицинской помощи и обратно для работников (и их детей) организаций, финансируемых </w:t>
      </w:r>
      <w:r>
        <w:rPr>
          <w:sz w:val="24"/>
          <w:szCs w:val="24"/>
        </w:rPr>
        <w:t xml:space="preserve">и</w:t>
      </w:r>
      <w:r>
        <w:rPr>
          <w:sz w:val="24"/>
          <w:szCs w:val="24"/>
        </w:rPr>
        <w:t xml:space="preserve">з бюджета Белоярского района </w:t>
      </w:r>
      <w:r>
        <w:rPr>
          <w:sz w:val="24"/>
          <w:szCs w:val="24"/>
        </w:rPr>
        <w:t xml:space="preserve">237</w:t>
      </w:r>
      <w:r>
        <w:rPr>
          <w:sz w:val="24"/>
          <w:szCs w:val="24"/>
        </w:rPr>
        <w:t xml:space="preserve"> гражданам (</w:t>
      </w:r>
      <w:r>
        <w:rPr>
          <w:sz w:val="24"/>
          <w:szCs w:val="24"/>
        </w:rPr>
        <w:t xml:space="preserve">2 410,74</w:t>
      </w:r>
      <w:r>
        <w:rPr>
          <w:sz w:val="24"/>
          <w:szCs w:val="24"/>
        </w:rPr>
        <w:t xml:space="preserve"> тыс. рублей);</w:t>
      </w:r>
      <w:r>
        <w:rPr>
          <w:sz w:val="24"/>
          <w:szCs w:val="24"/>
        </w:rPr>
      </w:r>
      <w:r>
        <w:rPr>
          <w:sz w:val="24"/>
          <w:szCs w:val="24"/>
        </w:rPr>
      </w:r>
    </w:p>
    <w:p>
      <w:pPr>
        <w:pStyle w:val="934"/>
        <w:numPr>
          <w:ilvl w:val="0"/>
          <w:numId w:val="24"/>
        </w:numPr>
        <w:ind w:left="0" w:firstLine="709"/>
        <w:jc w:val="both"/>
        <w:spacing w:line="276" w:lineRule="auto"/>
        <w:tabs>
          <w:tab w:val="left" w:pos="993" w:leader="none"/>
        </w:tabs>
        <w:rPr>
          <w:sz w:val="24"/>
          <w:szCs w:val="24"/>
        </w:rPr>
      </w:pPr>
      <w:r>
        <w:rPr>
          <w:sz w:val="24"/>
          <w:szCs w:val="24"/>
        </w:rPr>
        <w:t xml:space="preserve">оказаны меры социальной поддержки 48 граждан</w:t>
      </w:r>
      <w:r>
        <w:rPr>
          <w:sz w:val="24"/>
          <w:szCs w:val="24"/>
        </w:rPr>
        <w:t xml:space="preserve">ам, заключившим контракт о прохождении военной службы в Вооруженных Силах Российской Федерации, направленных для выполнения задач в ходе специальной военной операции, в виде единовременной денежной выплаты в размере 150,0 тыс. рублей (7 250,0 тыс. рублей);</w:t>
      </w:r>
      <w:r>
        <w:rPr>
          <w:sz w:val="24"/>
          <w:szCs w:val="24"/>
        </w:rPr>
      </w:r>
      <w:r>
        <w:rPr>
          <w:sz w:val="24"/>
          <w:szCs w:val="24"/>
        </w:rPr>
      </w:r>
    </w:p>
    <w:p>
      <w:pPr>
        <w:pStyle w:val="934"/>
        <w:numPr>
          <w:ilvl w:val="0"/>
          <w:numId w:val="24"/>
        </w:numPr>
        <w:ind w:left="0" w:firstLine="709"/>
        <w:jc w:val="both"/>
        <w:spacing w:line="276" w:lineRule="auto"/>
        <w:tabs>
          <w:tab w:val="left" w:pos="993" w:leader="none"/>
        </w:tabs>
        <w:rPr>
          <w:sz w:val="24"/>
          <w:szCs w:val="24"/>
        </w:rPr>
      </w:pPr>
      <w:r>
        <w:rPr>
          <w:sz w:val="24"/>
          <w:szCs w:val="24"/>
        </w:rPr>
        <w:t xml:space="preserve">произведена вып</w:t>
      </w:r>
      <w:r>
        <w:rPr>
          <w:sz w:val="24"/>
          <w:szCs w:val="24"/>
        </w:rPr>
        <w:t xml:space="preserve">лата денежного вознаграждения 53</w:t>
      </w:r>
      <w:r>
        <w:rPr>
          <w:sz w:val="24"/>
          <w:szCs w:val="24"/>
        </w:rPr>
        <w:t xml:space="preserve"> гражданам, награжденным Благодарственной грамотой главы Белоярского района (</w:t>
      </w:r>
      <w:r>
        <w:rPr>
          <w:sz w:val="24"/>
          <w:szCs w:val="24"/>
        </w:rPr>
        <w:t xml:space="preserve">304,6</w:t>
      </w:r>
      <w:r>
        <w:rPr>
          <w:sz w:val="24"/>
          <w:szCs w:val="24"/>
        </w:rPr>
        <w:t xml:space="preserve"> </w:t>
      </w:r>
      <w:r>
        <w:rPr>
          <w:sz w:val="24"/>
          <w:szCs w:val="24"/>
        </w:rPr>
        <w:t xml:space="preserve">тыс. рублей);</w:t>
      </w:r>
      <w:r>
        <w:rPr>
          <w:sz w:val="24"/>
          <w:szCs w:val="24"/>
        </w:rPr>
      </w:r>
      <w:r>
        <w:rPr>
          <w:sz w:val="24"/>
          <w:szCs w:val="24"/>
        </w:rPr>
      </w:r>
    </w:p>
    <w:p>
      <w:pPr>
        <w:pStyle w:val="934"/>
        <w:numPr>
          <w:ilvl w:val="0"/>
          <w:numId w:val="24"/>
        </w:numPr>
        <w:ind w:left="0" w:firstLine="709"/>
        <w:jc w:val="both"/>
        <w:spacing w:line="276" w:lineRule="auto"/>
        <w:tabs>
          <w:tab w:val="left" w:pos="993" w:leader="none"/>
        </w:tabs>
        <w:rPr>
          <w:sz w:val="24"/>
          <w:szCs w:val="24"/>
        </w:rPr>
      </w:pPr>
      <w:r>
        <w:rPr>
          <w:sz w:val="24"/>
          <w:szCs w:val="24"/>
        </w:rPr>
        <w:t xml:space="preserve">произведена выплата денежного вознаграждения 15 ветеранам Великой Отечественной войны и гражданам, родившимся до 31 декабря 1931 года к празднованию Дня Победы в Великой Отечественной войне 1941-1945 гг. (86,21 тыс. рублей);</w:t>
      </w:r>
      <w:r>
        <w:rPr>
          <w:sz w:val="24"/>
          <w:szCs w:val="24"/>
        </w:rPr>
      </w:r>
      <w:r>
        <w:rPr>
          <w:sz w:val="24"/>
          <w:szCs w:val="24"/>
        </w:rPr>
      </w:r>
    </w:p>
    <w:p>
      <w:pPr>
        <w:pStyle w:val="934"/>
        <w:numPr>
          <w:ilvl w:val="0"/>
          <w:numId w:val="24"/>
        </w:numPr>
        <w:ind w:left="0" w:firstLine="709"/>
        <w:jc w:val="both"/>
        <w:spacing w:line="276" w:lineRule="auto"/>
        <w:tabs>
          <w:tab w:val="left" w:pos="993" w:leader="none"/>
        </w:tabs>
        <w:rPr>
          <w:sz w:val="24"/>
          <w:szCs w:val="24"/>
        </w:rPr>
      </w:pPr>
      <w:r>
        <w:rPr>
          <w:sz w:val="24"/>
          <w:szCs w:val="24"/>
        </w:rPr>
        <w:t xml:space="preserve">произведена выплата денежного вознаграждения 9 Почётным гражданам Белоярского района в рамках празднования Дня Бело</w:t>
      </w:r>
      <w:r>
        <w:rPr>
          <w:sz w:val="24"/>
          <w:szCs w:val="24"/>
        </w:rPr>
        <w:t xml:space="preserve">ярского района (155,2 тыс. рубле</w:t>
      </w:r>
      <w:r>
        <w:rPr>
          <w:sz w:val="24"/>
          <w:szCs w:val="24"/>
        </w:rPr>
        <w:t xml:space="preserve">й);</w:t>
      </w:r>
      <w:r>
        <w:rPr>
          <w:sz w:val="24"/>
          <w:szCs w:val="24"/>
        </w:rPr>
      </w:r>
      <w:r>
        <w:rPr>
          <w:sz w:val="24"/>
          <w:szCs w:val="24"/>
        </w:rPr>
      </w:r>
    </w:p>
    <w:p>
      <w:pPr>
        <w:pStyle w:val="934"/>
        <w:numPr>
          <w:ilvl w:val="0"/>
          <w:numId w:val="24"/>
        </w:numPr>
        <w:ind w:left="0" w:firstLine="709"/>
        <w:jc w:val="both"/>
        <w:spacing w:line="276" w:lineRule="auto"/>
        <w:tabs>
          <w:tab w:val="left" w:pos="993" w:leader="none"/>
        </w:tabs>
        <w:rPr>
          <w:sz w:val="24"/>
          <w:szCs w:val="24"/>
        </w:rPr>
      </w:pPr>
      <w:r>
        <w:rPr>
          <w:sz w:val="24"/>
          <w:szCs w:val="24"/>
        </w:rPr>
        <w:t xml:space="preserve">произведена </w:t>
      </w:r>
      <w:r>
        <w:rPr>
          <w:sz w:val="24"/>
          <w:szCs w:val="24"/>
        </w:rPr>
        <w:t xml:space="preserve">выплата пенсии за выслугу лет 52</w:t>
      </w:r>
      <w:r>
        <w:rPr>
          <w:sz w:val="24"/>
          <w:szCs w:val="24"/>
        </w:rPr>
        <w:t xml:space="preserve"> муниципальн</w:t>
      </w:r>
      <w:r>
        <w:rPr>
          <w:sz w:val="24"/>
          <w:szCs w:val="24"/>
        </w:rPr>
        <w:t xml:space="preserve">ым служащим</w:t>
      </w:r>
      <w:r>
        <w:rPr>
          <w:sz w:val="24"/>
          <w:szCs w:val="24"/>
        </w:rPr>
        <w:t xml:space="preserve">         (</w:t>
      </w:r>
      <w:r>
        <w:rPr>
          <w:sz w:val="24"/>
          <w:szCs w:val="24"/>
        </w:rPr>
        <w:t xml:space="preserve">4 822,75</w:t>
      </w:r>
      <w:r>
        <w:rPr>
          <w:sz w:val="24"/>
          <w:szCs w:val="24"/>
        </w:rPr>
        <w:t xml:space="preserve"> тыс. рублей);</w:t>
      </w:r>
      <w:r>
        <w:rPr>
          <w:sz w:val="24"/>
          <w:szCs w:val="24"/>
        </w:rPr>
      </w:r>
      <w:r>
        <w:rPr>
          <w:sz w:val="24"/>
          <w:szCs w:val="24"/>
        </w:rPr>
      </w:r>
    </w:p>
    <w:p>
      <w:pPr>
        <w:pStyle w:val="934"/>
        <w:numPr>
          <w:ilvl w:val="0"/>
          <w:numId w:val="24"/>
        </w:numPr>
        <w:ind w:left="0" w:firstLine="709"/>
        <w:jc w:val="both"/>
        <w:spacing w:line="276" w:lineRule="auto"/>
        <w:tabs>
          <w:tab w:val="left" w:pos="993" w:leader="none"/>
        </w:tabs>
        <w:rPr>
          <w:sz w:val="24"/>
          <w:szCs w:val="24"/>
        </w:rPr>
      </w:pPr>
      <w:r>
        <w:rPr>
          <w:sz w:val="24"/>
          <w:szCs w:val="24"/>
        </w:rPr>
        <w:t xml:space="preserve">заключен договор с ФГУП «Почта России» г. Белоярский на оформление подписки на газету «Белоярские вести» для 15 ветеранов Великой Отечественной войны и для 81 инвалида 1 группы (</w:t>
      </w:r>
      <w:r>
        <w:rPr>
          <w:sz w:val="24"/>
          <w:szCs w:val="24"/>
        </w:rPr>
        <w:t xml:space="preserve">174,52</w:t>
      </w:r>
      <w:r>
        <w:rPr>
          <w:sz w:val="24"/>
          <w:szCs w:val="24"/>
        </w:rPr>
        <w:t xml:space="preserve"> тыс. рублей).</w:t>
      </w:r>
      <w:r>
        <w:rPr>
          <w:sz w:val="24"/>
          <w:szCs w:val="24"/>
        </w:rPr>
      </w:r>
      <w:r>
        <w:rPr>
          <w:sz w:val="24"/>
          <w:szCs w:val="24"/>
        </w:rPr>
      </w:r>
    </w:p>
    <w:p>
      <w:pPr>
        <w:pStyle w:val="934"/>
        <w:ind w:firstLine="720"/>
        <w:jc w:val="both"/>
        <w:spacing w:line="300" w:lineRule="auto"/>
        <w:rPr>
          <w:sz w:val="24"/>
          <w:szCs w:val="24"/>
        </w:rPr>
      </w:pPr>
      <w:r>
        <w:rPr>
          <w:sz w:val="24"/>
          <w:szCs w:val="24"/>
        </w:rPr>
        <w:t xml:space="preserve">За 2024 год</w:t>
      </w:r>
      <w:r>
        <w:rPr>
          <w:sz w:val="24"/>
          <w:szCs w:val="24"/>
        </w:rPr>
        <w:t xml:space="preserve"> </w:t>
      </w:r>
      <w:r>
        <w:rPr>
          <w:sz w:val="24"/>
          <w:szCs w:val="24"/>
        </w:rPr>
        <w:t xml:space="preserve">в рамках социально-значимых мероприятий </w:t>
      </w:r>
      <w:r>
        <w:rPr>
          <w:sz w:val="24"/>
          <w:szCs w:val="24"/>
        </w:rPr>
        <w:t xml:space="preserve">продуктовыми наборами обеспечены:</w:t>
      </w:r>
      <w:r>
        <w:rPr>
          <w:sz w:val="24"/>
          <w:szCs w:val="24"/>
        </w:rPr>
      </w:r>
      <w:r>
        <w:rPr>
          <w:sz w:val="24"/>
          <w:szCs w:val="24"/>
        </w:rPr>
      </w:r>
    </w:p>
    <w:p>
      <w:pPr>
        <w:pStyle w:val="934"/>
        <w:ind w:firstLine="720"/>
        <w:jc w:val="both"/>
        <w:spacing w:line="300" w:lineRule="auto"/>
        <w:rPr>
          <w:sz w:val="24"/>
          <w:szCs w:val="24"/>
        </w:rPr>
      </w:pPr>
      <w:r>
        <w:rPr>
          <w:sz w:val="24"/>
          <w:szCs w:val="24"/>
        </w:rPr>
        <w:t xml:space="preserve">- 148 семей </w:t>
      </w:r>
      <w:r>
        <w:rPr>
          <w:sz w:val="24"/>
          <w:szCs w:val="24"/>
        </w:rPr>
        <w:t xml:space="preserve">участнико</w:t>
      </w:r>
      <w:r>
        <w:rPr>
          <w:sz w:val="24"/>
          <w:szCs w:val="24"/>
        </w:rPr>
        <w:t xml:space="preserve">в специальной военной операции </w:t>
      </w:r>
      <w:r>
        <w:rPr>
          <w:sz w:val="24"/>
          <w:szCs w:val="24"/>
        </w:rPr>
        <w:t xml:space="preserve">в связи с празднованием </w:t>
      </w:r>
      <w:r>
        <w:rPr>
          <w:sz w:val="24"/>
          <w:szCs w:val="24"/>
        </w:rPr>
        <w:t xml:space="preserve">Международн</w:t>
      </w:r>
      <w:r>
        <w:rPr>
          <w:sz w:val="24"/>
          <w:szCs w:val="24"/>
        </w:rPr>
        <w:t xml:space="preserve">ого женского дня (</w:t>
      </w:r>
      <w:r>
        <w:rPr>
          <w:sz w:val="24"/>
          <w:szCs w:val="24"/>
        </w:rPr>
        <w:t xml:space="preserve">378</w:t>
      </w:r>
      <w:r>
        <w:rPr>
          <w:sz w:val="24"/>
          <w:szCs w:val="24"/>
        </w:rPr>
        <w:t xml:space="preserve">,88 тыс. рублей</w:t>
      </w:r>
      <w:r>
        <w:rPr>
          <w:sz w:val="24"/>
          <w:szCs w:val="24"/>
        </w:rPr>
        <w:t xml:space="preserve">)</w:t>
      </w:r>
      <w:r>
        <w:rPr>
          <w:sz w:val="24"/>
          <w:szCs w:val="24"/>
        </w:rPr>
        <w:t xml:space="preserve">;</w:t>
      </w:r>
      <w:r>
        <w:rPr>
          <w:sz w:val="24"/>
          <w:szCs w:val="24"/>
        </w:rPr>
      </w:r>
      <w:r>
        <w:rPr>
          <w:sz w:val="24"/>
          <w:szCs w:val="24"/>
        </w:rPr>
      </w:r>
    </w:p>
    <w:p>
      <w:pPr>
        <w:pStyle w:val="934"/>
        <w:ind w:firstLine="720"/>
        <w:jc w:val="both"/>
        <w:spacing w:line="300" w:lineRule="auto"/>
        <w:rPr>
          <w:sz w:val="24"/>
          <w:szCs w:val="24"/>
        </w:rPr>
      </w:pPr>
      <w:r>
        <w:rPr>
          <w:sz w:val="24"/>
          <w:szCs w:val="24"/>
        </w:rPr>
        <w:t xml:space="preserve">- </w:t>
      </w:r>
      <w:r>
        <w:rPr>
          <w:sz w:val="24"/>
          <w:szCs w:val="24"/>
        </w:rPr>
        <w:t xml:space="preserve">15 ветеранов Великой Отечественной войны к Дню Победы (75,0 тыс. рублей);</w:t>
      </w:r>
      <w:r>
        <w:rPr>
          <w:sz w:val="24"/>
          <w:szCs w:val="24"/>
        </w:rPr>
      </w:r>
      <w:r>
        <w:rPr>
          <w:sz w:val="24"/>
          <w:szCs w:val="24"/>
        </w:rPr>
      </w:r>
    </w:p>
    <w:p>
      <w:pPr>
        <w:pStyle w:val="934"/>
        <w:ind w:firstLine="720"/>
        <w:jc w:val="both"/>
        <w:spacing w:line="300" w:lineRule="auto"/>
        <w:rPr>
          <w:sz w:val="24"/>
          <w:szCs w:val="24"/>
        </w:rPr>
      </w:pPr>
      <w:r>
        <w:rPr>
          <w:sz w:val="24"/>
          <w:szCs w:val="24"/>
        </w:rPr>
        <w:t xml:space="preserve">- 218 неработающих пенсионеров (80+) в связи с празднованием Дня Победы (545,0 тыс. рублей);</w:t>
      </w:r>
      <w:r>
        <w:rPr>
          <w:sz w:val="24"/>
          <w:szCs w:val="24"/>
        </w:rPr>
      </w:r>
      <w:r>
        <w:rPr>
          <w:sz w:val="24"/>
          <w:szCs w:val="24"/>
        </w:rPr>
      </w:r>
    </w:p>
    <w:p>
      <w:pPr>
        <w:pStyle w:val="934"/>
        <w:ind w:firstLine="720"/>
        <w:jc w:val="both"/>
        <w:spacing w:line="300" w:lineRule="auto"/>
        <w:rPr>
          <w:sz w:val="24"/>
          <w:szCs w:val="24"/>
        </w:rPr>
      </w:pPr>
      <w:r>
        <w:rPr>
          <w:sz w:val="24"/>
          <w:szCs w:val="24"/>
        </w:rPr>
        <w:t xml:space="preserve">- 738 семей из числа многодетных семей и семей участников специальной военной операции ко Дню семьи, любви и</w:t>
      </w:r>
      <w:r>
        <w:rPr>
          <w:sz w:val="24"/>
          <w:szCs w:val="24"/>
        </w:rPr>
        <w:t xml:space="preserve"> верности (1 328,4 тыс. рублей);</w:t>
      </w:r>
      <w:r>
        <w:rPr>
          <w:sz w:val="24"/>
          <w:szCs w:val="24"/>
        </w:rPr>
      </w:r>
      <w:r>
        <w:rPr>
          <w:sz w:val="24"/>
          <w:szCs w:val="24"/>
        </w:rPr>
      </w:r>
    </w:p>
    <w:p>
      <w:pPr>
        <w:pStyle w:val="934"/>
        <w:ind w:firstLine="720"/>
        <w:jc w:val="both"/>
        <w:spacing w:line="300" w:lineRule="auto"/>
        <w:rPr>
          <w:sz w:val="24"/>
          <w:szCs w:val="24"/>
        </w:rPr>
      </w:pPr>
      <w:r>
        <w:rPr>
          <w:sz w:val="24"/>
          <w:szCs w:val="24"/>
        </w:rPr>
        <w:t xml:space="preserve">- </w:t>
      </w:r>
      <w:r>
        <w:rPr>
          <w:sz w:val="24"/>
          <w:szCs w:val="24"/>
        </w:rPr>
        <w:t xml:space="preserve">1 882 неработающих пенсионера</w:t>
      </w:r>
      <w:r>
        <w:rPr>
          <w:sz w:val="24"/>
          <w:szCs w:val="24"/>
        </w:rPr>
        <w:t xml:space="preserve"> (65+), проживающих на территории Белоярского района в связи с празднованием Дня Белоярского района (</w:t>
      </w:r>
      <w:r>
        <w:rPr>
          <w:sz w:val="24"/>
          <w:szCs w:val="24"/>
        </w:rPr>
        <w:t xml:space="preserve">3 764,0 тыс. рублей);</w:t>
      </w:r>
      <w:r>
        <w:rPr>
          <w:sz w:val="24"/>
          <w:szCs w:val="24"/>
        </w:rPr>
      </w:r>
      <w:r>
        <w:rPr>
          <w:sz w:val="24"/>
          <w:szCs w:val="24"/>
        </w:rPr>
      </w:r>
    </w:p>
    <w:p>
      <w:pPr>
        <w:pStyle w:val="934"/>
        <w:ind w:firstLine="720"/>
        <w:jc w:val="both"/>
        <w:spacing w:line="300" w:lineRule="auto"/>
        <w:rPr>
          <w:sz w:val="24"/>
          <w:szCs w:val="24"/>
        </w:rPr>
      </w:pPr>
      <w:r>
        <w:rPr>
          <w:sz w:val="24"/>
          <w:szCs w:val="24"/>
        </w:rPr>
        <w:t xml:space="preserve">- 137 семей, воспитывающих детей-инвалидов;</w:t>
      </w:r>
      <w:r>
        <w:rPr>
          <w:sz w:val="24"/>
          <w:szCs w:val="24"/>
        </w:rPr>
      </w:r>
      <w:r>
        <w:rPr>
          <w:sz w:val="24"/>
          <w:szCs w:val="24"/>
        </w:rPr>
      </w:r>
    </w:p>
    <w:p>
      <w:pPr>
        <w:pStyle w:val="934"/>
        <w:ind w:firstLine="720"/>
        <w:jc w:val="both"/>
        <w:spacing w:line="300" w:lineRule="auto"/>
        <w:rPr>
          <w:sz w:val="24"/>
          <w:szCs w:val="24"/>
        </w:rPr>
      </w:pPr>
      <w:r>
        <w:rPr>
          <w:sz w:val="24"/>
          <w:szCs w:val="24"/>
        </w:rPr>
        <w:t xml:space="preserve">- 8 участников ликвидации последствий катастрофы Чернобыльской АЭС;</w:t>
      </w:r>
      <w:r>
        <w:rPr>
          <w:sz w:val="24"/>
          <w:szCs w:val="24"/>
        </w:rPr>
      </w:r>
      <w:r>
        <w:rPr>
          <w:sz w:val="24"/>
          <w:szCs w:val="24"/>
        </w:rPr>
      </w:r>
    </w:p>
    <w:p>
      <w:pPr>
        <w:pStyle w:val="934"/>
        <w:ind w:firstLine="720"/>
        <w:jc w:val="both"/>
        <w:spacing w:line="300" w:lineRule="auto"/>
        <w:rPr>
          <w:sz w:val="24"/>
          <w:szCs w:val="24"/>
        </w:rPr>
      </w:pPr>
      <w:r>
        <w:rPr>
          <w:sz w:val="24"/>
          <w:szCs w:val="24"/>
        </w:rPr>
        <w:t xml:space="preserve">- 263 семьи участников специальной военной операции.</w:t>
      </w:r>
      <w:r>
        <w:rPr>
          <w:sz w:val="24"/>
          <w:szCs w:val="24"/>
        </w:rPr>
      </w:r>
      <w:r>
        <w:rPr>
          <w:sz w:val="24"/>
          <w:szCs w:val="24"/>
        </w:rPr>
      </w:r>
    </w:p>
    <w:p>
      <w:pPr>
        <w:pStyle w:val="934"/>
        <w:ind w:firstLine="720"/>
        <w:jc w:val="both"/>
        <w:spacing w:line="300" w:lineRule="auto"/>
        <w:rPr>
          <w:sz w:val="24"/>
          <w:szCs w:val="24"/>
        </w:rPr>
      </w:pPr>
      <w:r>
        <w:rPr>
          <w:sz w:val="24"/>
          <w:szCs w:val="24"/>
        </w:rPr>
        <w:t xml:space="preserve">В 2024 году были проведены отборы на предоставление грантов в форме субсидий социально ориентированным некоммерческим органи</w:t>
      </w:r>
      <w:r>
        <w:rPr>
          <w:sz w:val="24"/>
          <w:szCs w:val="24"/>
        </w:rPr>
        <w:t xml:space="preserve">зациям, не являющимися государственными (муниципальными) учреждениями, на реализацию в Белоярском районе социально значимых мероприятий. По итогам проведенных отборов предоставлены гранты в форме субсидий 8 организациям на общую сумму 2 546,5 тыс. рублей. </w:t>
      </w:r>
      <w:r>
        <w:rPr>
          <w:sz w:val="24"/>
          <w:szCs w:val="24"/>
        </w:rPr>
      </w:r>
      <w:r>
        <w:rPr>
          <w:sz w:val="24"/>
          <w:szCs w:val="24"/>
        </w:rPr>
      </w:r>
    </w:p>
    <w:p>
      <w:pPr>
        <w:pStyle w:val="934"/>
        <w:ind w:firstLine="720"/>
        <w:jc w:val="both"/>
        <w:spacing w:line="300" w:lineRule="auto"/>
        <w:rPr>
          <w:sz w:val="24"/>
          <w:szCs w:val="24"/>
        </w:rPr>
      </w:pPr>
      <w:r>
        <w:rPr>
          <w:sz w:val="24"/>
          <w:szCs w:val="24"/>
        </w:rPr>
        <w:t xml:space="preserve">В рамках муниципальной программы Белоярского района «Укрепление межнациональн</w:t>
      </w:r>
      <w:r>
        <w:rPr>
          <w:sz w:val="24"/>
          <w:szCs w:val="24"/>
        </w:rPr>
        <w:t xml:space="preserve">ого и межконфессионального согласия, профилактика экстремизма» оказана финансовая поддержка в виде гранта в форме субсидии на сумму 200,0 тыс. рублей социально ориентированной некоммерческой организации «Сохранения культуры и языка «Мастерская «Иголочка». </w:t>
      </w:r>
      <w:r>
        <w:rPr>
          <w:sz w:val="24"/>
          <w:szCs w:val="24"/>
        </w:rPr>
      </w:r>
      <w:r>
        <w:rPr>
          <w:sz w:val="24"/>
          <w:szCs w:val="24"/>
        </w:rPr>
      </w:r>
    </w:p>
    <w:p>
      <w:pPr>
        <w:pStyle w:val="934"/>
        <w:ind w:firstLine="720"/>
        <w:jc w:val="both"/>
        <w:spacing w:line="300" w:lineRule="auto"/>
        <w:rPr>
          <w:color w:val="ff0000"/>
          <w:sz w:val="24"/>
          <w:szCs w:val="24"/>
        </w:rPr>
      </w:pPr>
      <w:r>
        <w:rPr>
          <w:color w:val="ff0000"/>
          <w:sz w:val="24"/>
          <w:szCs w:val="24"/>
        </w:rPr>
      </w:r>
      <w:r>
        <w:rPr>
          <w:color w:val="ff0000"/>
          <w:sz w:val="24"/>
          <w:szCs w:val="24"/>
        </w:rPr>
      </w:r>
      <w:r>
        <w:rPr>
          <w:color w:val="ff0000"/>
          <w:sz w:val="24"/>
          <w:szCs w:val="24"/>
        </w:rPr>
      </w:r>
    </w:p>
    <w:p>
      <w:pPr>
        <w:pStyle w:val="934"/>
        <w:ind w:firstLine="709"/>
        <w:jc w:val="center"/>
        <w:spacing w:line="276" w:lineRule="auto"/>
        <w:rPr>
          <w:b/>
          <w:sz w:val="24"/>
          <w:szCs w:val="24"/>
        </w:rPr>
      </w:pPr>
      <w:r>
        <w:rPr>
          <w:b/>
          <w:sz w:val="24"/>
          <w:szCs w:val="24"/>
        </w:rPr>
        <w:t xml:space="preserve">6. ОСНОВНЫЕ ПАРАМЕТРЫ  КОНСОЛИДИРОВАННОГО БЮДЖЕТА БЕЛОЯРСКОГО РАЙОНА</w:t>
      </w:r>
      <w:r>
        <w:rPr>
          <w:b/>
          <w:sz w:val="24"/>
          <w:szCs w:val="24"/>
        </w:rPr>
      </w:r>
      <w:r>
        <w:rPr>
          <w:b/>
          <w:sz w:val="24"/>
          <w:szCs w:val="24"/>
        </w:rPr>
      </w:r>
    </w:p>
    <w:p>
      <w:pPr>
        <w:pStyle w:val="934"/>
        <w:ind w:firstLine="709"/>
        <w:jc w:val="center"/>
        <w:spacing w:line="276" w:lineRule="auto"/>
        <w:rPr>
          <w:sz w:val="24"/>
          <w:szCs w:val="24"/>
        </w:rPr>
      </w:pPr>
      <w:r>
        <w:rPr>
          <w:sz w:val="24"/>
          <w:szCs w:val="24"/>
        </w:rPr>
      </w:r>
      <w:r>
        <w:rPr>
          <w:sz w:val="24"/>
          <w:szCs w:val="24"/>
        </w:rPr>
      </w:r>
      <w:r>
        <w:rPr>
          <w:sz w:val="24"/>
          <w:szCs w:val="24"/>
        </w:rPr>
      </w:r>
    </w:p>
    <w:p>
      <w:pPr>
        <w:pStyle w:val="934"/>
        <w:ind w:firstLine="708"/>
        <w:jc w:val="both"/>
        <w:spacing w:line="276" w:lineRule="auto"/>
        <w:rPr>
          <w:sz w:val="24"/>
          <w:szCs w:val="24"/>
        </w:rPr>
      </w:pPr>
      <w:r>
        <w:fldChar w:fldCharType="begin"/>
      </w:r>
      <w:r>
        <w:instrText xml:space="preserve"> HYPERLINK "D:economicfinansdiag3.htm" \t "_top" </w:instrText>
      </w:r>
      <w:r>
        <w:fldChar w:fldCharType="separate"/>
      </w:r>
      <w:r>
        <w:rPr>
          <w:b/>
          <w:bCs/>
          <w:sz w:val="24"/>
          <w:szCs w:val="24"/>
          <w:u w:val="single"/>
        </w:rPr>
        <w:t xml:space="preserve">Доходная часть консолидированного бюджета</w:t>
      </w:r>
      <w:r>
        <w:rPr>
          <w:b/>
          <w:bCs/>
          <w:sz w:val="24"/>
          <w:szCs w:val="24"/>
          <w:u w:val="single"/>
        </w:rPr>
        <w:fldChar w:fldCharType="end"/>
      </w:r>
      <w:r>
        <w:rPr>
          <w:b/>
          <w:sz w:val="24"/>
          <w:szCs w:val="24"/>
        </w:rPr>
        <w:t xml:space="preserve"> </w:t>
      </w:r>
      <w:r>
        <w:rPr>
          <w:sz w:val="24"/>
          <w:szCs w:val="24"/>
        </w:rPr>
        <w:t xml:space="preserve">Белоярского района исполнена на </w:t>
      </w:r>
      <w:r>
        <w:rPr>
          <w:sz w:val="24"/>
          <w:szCs w:val="24"/>
        </w:rPr>
        <w:t xml:space="preserve">100</w:t>
      </w:r>
      <w:r>
        <w:rPr>
          <w:sz w:val="24"/>
          <w:szCs w:val="24"/>
        </w:rPr>
        <w:t xml:space="preserve"> % от бюджетной росписи на 202</w:t>
      </w:r>
      <w:r>
        <w:rPr>
          <w:sz w:val="24"/>
          <w:szCs w:val="24"/>
        </w:rPr>
        <w:t xml:space="preserve">4</w:t>
      </w:r>
      <w:r>
        <w:rPr>
          <w:sz w:val="24"/>
          <w:szCs w:val="24"/>
        </w:rPr>
        <w:t xml:space="preserve"> год и</w:t>
      </w:r>
      <w:r>
        <w:rPr>
          <w:sz w:val="24"/>
          <w:szCs w:val="24"/>
        </w:rPr>
        <w:t xml:space="preserve"> составила </w:t>
      </w:r>
      <w:r>
        <w:rPr>
          <w:sz w:val="24"/>
          <w:szCs w:val="24"/>
        </w:rPr>
        <w:t xml:space="preserve">6</w:t>
      </w:r>
      <w:r>
        <w:rPr>
          <w:sz w:val="24"/>
          <w:szCs w:val="24"/>
          <w:lang w:val="en-US"/>
        </w:rPr>
        <w:t xml:space="preserve"> </w:t>
      </w:r>
      <w:r>
        <w:rPr>
          <w:sz w:val="24"/>
          <w:szCs w:val="24"/>
        </w:rPr>
        <w:t xml:space="preserve">399</w:t>
      </w:r>
      <w:r>
        <w:rPr>
          <w:sz w:val="24"/>
          <w:szCs w:val="24"/>
          <w:lang w:val="en-US"/>
        </w:rPr>
        <w:t xml:space="preserve"> </w:t>
      </w:r>
      <w:r>
        <w:rPr>
          <w:sz w:val="24"/>
          <w:szCs w:val="24"/>
        </w:rPr>
        <w:t xml:space="preserve">651</w:t>
      </w:r>
      <w:r>
        <w:rPr>
          <w:bCs/>
          <w:sz w:val="24"/>
          <w:szCs w:val="24"/>
        </w:rPr>
        <w:t xml:space="preserve"> </w:t>
      </w:r>
      <w:r>
        <w:rPr>
          <w:sz w:val="24"/>
          <w:szCs w:val="24"/>
        </w:rPr>
        <w:t xml:space="preserve">тыс. руб. (без учета оборотов).</w:t>
      </w:r>
      <w:r>
        <w:rPr>
          <w:sz w:val="24"/>
          <w:szCs w:val="24"/>
        </w:rPr>
      </w:r>
      <w:r>
        <w:rPr>
          <w:sz w:val="24"/>
          <w:szCs w:val="24"/>
        </w:rPr>
      </w:r>
    </w:p>
    <w:p>
      <w:pPr>
        <w:pStyle w:val="934"/>
        <w:ind w:firstLine="708"/>
        <w:jc w:val="right"/>
        <w:spacing w:line="276" w:lineRule="auto"/>
        <w:rPr>
          <w:sz w:val="24"/>
          <w:szCs w:val="24"/>
        </w:rPr>
      </w:pPr>
      <w:r>
        <w:rPr>
          <w:sz w:val="24"/>
          <w:szCs w:val="24"/>
        </w:rPr>
        <w:t xml:space="preserve">Таблица 3</w:t>
      </w:r>
      <w:r>
        <w:rPr>
          <w:sz w:val="24"/>
          <w:szCs w:val="24"/>
        </w:rPr>
      </w:r>
      <w:r>
        <w:rPr>
          <w:sz w:val="24"/>
          <w:szCs w:val="24"/>
        </w:rPr>
      </w:r>
    </w:p>
    <w:p>
      <w:pPr>
        <w:pStyle w:val="934"/>
        <w:ind w:firstLine="708"/>
        <w:jc w:val="center"/>
        <w:spacing w:line="276" w:lineRule="auto"/>
        <w:rPr>
          <w:b/>
          <w:sz w:val="24"/>
          <w:szCs w:val="24"/>
        </w:rPr>
      </w:pPr>
      <w:r>
        <w:rPr>
          <w:b/>
          <w:sz w:val="24"/>
          <w:szCs w:val="24"/>
        </w:rPr>
        <w:t xml:space="preserve">Исполнение доходной части консолидированного бюджета</w:t>
      </w:r>
      <w:r>
        <w:rPr>
          <w:b/>
          <w:sz w:val="24"/>
          <w:szCs w:val="24"/>
        </w:rPr>
      </w:r>
      <w:r>
        <w:rPr>
          <w:b/>
          <w:sz w:val="24"/>
          <w:szCs w:val="24"/>
        </w:rPr>
      </w:r>
    </w:p>
    <w:p>
      <w:pPr>
        <w:pStyle w:val="934"/>
        <w:ind w:firstLine="708"/>
        <w:jc w:val="center"/>
        <w:spacing w:line="276" w:lineRule="auto"/>
        <w:rPr>
          <w:b/>
          <w:sz w:val="24"/>
          <w:szCs w:val="24"/>
        </w:rPr>
      </w:pPr>
      <w:r>
        <w:rPr>
          <w:b/>
          <w:sz w:val="24"/>
          <w:szCs w:val="24"/>
        </w:rPr>
        <w:t xml:space="preserve">Белоярского района за </w:t>
      </w:r>
      <w:r>
        <w:rPr>
          <w:b/>
          <w:sz w:val="24"/>
          <w:szCs w:val="24"/>
        </w:rPr>
        <w:t xml:space="preserve">2024 год</w:t>
      </w:r>
      <w:r>
        <w:rPr>
          <w:b/>
          <w:sz w:val="24"/>
          <w:szCs w:val="24"/>
        </w:rPr>
      </w:r>
      <w:r>
        <w:rPr>
          <w:b/>
          <w:sz w:val="24"/>
          <w:szCs w:val="24"/>
        </w:rPr>
      </w:r>
    </w:p>
    <w:tbl>
      <w:tblPr>
        <w:tblW w:w="9757" w:type="dxa"/>
        <w:tblInd w:w="93" w:type="dxa"/>
        <w:tblLayout w:type="fixed"/>
        <w:tblCellMar>
          <w:left w:w="108" w:type="dxa"/>
          <w:top w:w="0" w:type="dxa"/>
          <w:right w:w="108" w:type="dxa"/>
          <w:bottom w:w="0" w:type="dxa"/>
        </w:tblCellMar>
        <w:tblLook w:val="04A0" w:firstRow="1" w:lastRow="0" w:firstColumn="1" w:lastColumn="0" w:noHBand="0" w:noVBand="1"/>
      </w:tblPr>
      <w:tblGrid>
        <w:gridCol w:w="756"/>
        <w:gridCol w:w="4504"/>
        <w:gridCol w:w="1418"/>
        <w:gridCol w:w="1557"/>
        <w:gridCol w:w="1522"/>
      </w:tblGrid>
      <w:tr>
        <w:tblPrEx/>
        <w:trPr>
          <w:trHeight w:val="301"/>
        </w:trPr>
        <w:tc>
          <w:tcPr>
            <w:tcBorders>
              <w:top w:val="none" w:color="FFFFFF" w:sz="255" w:space="0"/>
              <w:left w:val="none" w:color="FFFFFF" w:sz="255" w:space="0"/>
              <w:bottom w:val="none" w:color="FFFFFF" w:sz="255" w:space="0"/>
              <w:right w:val="none" w:color="FFFFFF" w:sz="255" w:space="0"/>
            </w:tcBorders>
            <w:tcW w:w="756" w:type="dxa"/>
            <w:vAlign w:val="bottom"/>
            <w:textDirection w:val="lrTb"/>
            <w:noWrap/>
          </w:tcPr>
          <w:p>
            <w:pPr>
              <w:pStyle w:val="934"/>
              <w:rPr>
                <w:rFonts w:ascii="Arial CYR" w:hAnsi="Arial CYR" w:cs="Arial CYR"/>
              </w:rPr>
            </w:pPr>
            <w:r>
              <w:rPr>
                <w:rFonts w:ascii="Arial CYR" w:hAnsi="Arial CYR" w:cs="Arial CYR"/>
              </w:rPr>
            </w:r>
            <w:r>
              <w:rPr>
                <w:rFonts w:ascii="Arial CYR" w:hAnsi="Arial CYR" w:cs="Arial CYR"/>
              </w:rPr>
            </w:r>
            <w:r>
              <w:rPr>
                <w:rFonts w:ascii="Arial CYR" w:hAnsi="Arial CYR" w:cs="Arial CYR"/>
              </w:rPr>
            </w:r>
          </w:p>
        </w:tc>
        <w:tc>
          <w:tcPr>
            <w:tcBorders>
              <w:top w:val="none" w:color="FFFFFF" w:sz="255" w:space="0"/>
              <w:left w:val="none" w:color="FFFFFF" w:sz="255" w:space="0"/>
              <w:bottom w:val="none" w:color="FFFFFF" w:sz="255" w:space="0"/>
              <w:right w:val="none" w:color="FFFFFF" w:sz="255" w:space="0"/>
            </w:tcBorders>
            <w:tcW w:w="4504" w:type="dxa"/>
            <w:vAlign w:val="bottom"/>
            <w:textDirection w:val="lrTb"/>
            <w:noWrap/>
          </w:tcPr>
          <w:p>
            <w:pPr>
              <w:pStyle w:val="934"/>
              <w:rPr>
                <w:rFonts w:ascii="Arial CYR" w:hAnsi="Arial CYR" w:cs="Arial CYR"/>
              </w:rPr>
            </w:pPr>
            <w:r>
              <w:rPr>
                <w:rFonts w:ascii="Arial CYR" w:hAnsi="Arial CYR" w:cs="Arial CYR"/>
              </w:rPr>
            </w:r>
            <w:r>
              <w:rPr>
                <w:rFonts w:ascii="Arial CYR" w:hAnsi="Arial CYR" w:cs="Arial CYR"/>
              </w:rPr>
            </w:r>
            <w:r>
              <w:rPr>
                <w:rFonts w:ascii="Arial CYR" w:hAnsi="Arial CYR" w:cs="Arial CYR"/>
              </w:rPr>
            </w:r>
          </w:p>
        </w:tc>
        <w:tc>
          <w:tcPr>
            <w:tcBorders>
              <w:top w:val="none" w:color="FFFFFF" w:sz="255" w:space="0"/>
              <w:left w:val="none" w:color="FFFFFF" w:sz="255" w:space="0"/>
              <w:bottom w:val="none" w:color="FFFFFF" w:sz="255" w:space="0"/>
              <w:right w:val="none" w:color="FFFFFF" w:sz="255" w:space="0"/>
            </w:tcBorders>
            <w:tcW w:w="1418" w:type="dxa"/>
            <w:vAlign w:val="bottom"/>
            <w:textDirection w:val="lrTb"/>
            <w:noWrap/>
          </w:tcPr>
          <w:p>
            <w:pPr>
              <w:pStyle w:val="934"/>
              <w:rPr>
                <w:rFonts w:ascii="Arial CYR" w:hAnsi="Arial CYR" w:cs="Arial CYR"/>
              </w:rPr>
            </w:pPr>
            <w:r>
              <w:rPr>
                <w:rFonts w:ascii="Arial CYR" w:hAnsi="Arial CYR" w:cs="Arial CYR"/>
              </w:rPr>
            </w:r>
            <w:r>
              <w:rPr>
                <w:rFonts w:ascii="Arial CYR" w:hAnsi="Arial CYR" w:cs="Arial CYR"/>
              </w:rPr>
            </w:r>
            <w:r>
              <w:rPr>
                <w:rFonts w:ascii="Arial CYR" w:hAnsi="Arial CYR" w:cs="Arial CYR"/>
              </w:rPr>
            </w:r>
          </w:p>
        </w:tc>
        <w:tc>
          <w:tcPr>
            <w:tcBorders>
              <w:top w:val="none" w:color="FFFFFF" w:sz="255" w:space="0"/>
              <w:left w:val="none" w:color="FFFFFF" w:sz="255" w:space="0"/>
              <w:bottom w:val="none" w:color="FFFFFF" w:sz="255" w:space="0"/>
              <w:right w:val="none" w:color="FFFFFF" w:sz="255" w:space="0"/>
            </w:tcBorders>
            <w:tcW w:w="1557" w:type="dxa"/>
            <w:vAlign w:val="bottom"/>
            <w:textDirection w:val="lrTb"/>
            <w:noWrap/>
          </w:tcPr>
          <w:p>
            <w:pPr>
              <w:pStyle w:val="934"/>
              <w:rPr>
                <w:rFonts w:ascii="Arial CYR" w:hAnsi="Arial CYR" w:cs="Arial CYR"/>
              </w:rPr>
            </w:pPr>
            <w:r>
              <w:rPr>
                <w:rFonts w:ascii="Arial CYR" w:hAnsi="Arial CYR" w:cs="Arial CYR"/>
              </w:rPr>
            </w:r>
            <w:r>
              <w:rPr>
                <w:rFonts w:ascii="Arial CYR" w:hAnsi="Arial CYR" w:cs="Arial CYR"/>
              </w:rPr>
            </w:r>
            <w:r>
              <w:rPr>
                <w:rFonts w:ascii="Arial CYR" w:hAnsi="Arial CYR" w:cs="Arial CYR"/>
              </w:rPr>
            </w:r>
          </w:p>
        </w:tc>
        <w:tc>
          <w:tcPr>
            <w:tcBorders>
              <w:top w:val="none" w:color="FFFFFF" w:sz="255" w:space="0"/>
              <w:left w:val="none" w:color="FFFFFF" w:sz="255" w:space="0"/>
              <w:bottom w:val="none" w:color="FFFFFF" w:sz="255" w:space="0"/>
              <w:right w:val="none" w:color="FFFFFF" w:sz="255" w:space="0"/>
            </w:tcBorders>
            <w:tcW w:w="1522" w:type="dxa"/>
            <w:vAlign w:val="bottom"/>
            <w:textDirection w:val="lrTb"/>
            <w:noWrap/>
          </w:tcPr>
          <w:p>
            <w:pPr>
              <w:pStyle w:val="934"/>
              <w:jc w:val="center"/>
              <w:rPr>
                <w:sz w:val="24"/>
                <w:szCs w:val="24"/>
              </w:rPr>
            </w:pPr>
            <w:r>
              <w:rPr>
                <w:sz w:val="24"/>
                <w:szCs w:val="24"/>
              </w:rPr>
              <w:t xml:space="preserve">тыс. руб.</w:t>
            </w:r>
            <w:r>
              <w:rPr>
                <w:sz w:val="24"/>
                <w:szCs w:val="24"/>
              </w:rPr>
            </w:r>
            <w:r>
              <w:rPr>
                <w:sz w:val="24"/>
                <w:szCs w:val="24"/>
              </w:rPr>
            </w:r>
          </w:p>
        </w:tc>
      </w:tr>
      <w:tr>
        <w:tblPrEx/>
        <w:trPr>
          <w:trHeight w:val="1097"/>
        </w:trPr>
        <w:tc>
          <w:tcPr>
            <w:tcBorders>
              <w:top w:val="single" w:color="000000" w:sz="4" w:space="0"/>
              <w:left w:val="single" w:color="000000" w:sz="4" w:space="0"/>
              <w:bottom w:val="single" w:color="000000" w:sz="4" w:space="0"/>
              <w:right w:val="single" w:color="000000" w:sz="4" w:space="0"/>
            </w:tcBorders>
            <w:tcW w:w="756" w:type="dxa"/>
            <w:vAlign w:val="center"/>
            <w:textDirection w:val="lrTb"/>
            <w:noWrap w:val="false"/>
          </w:tcPr>
          <w:p>
            <w:pPr>
              <w:pStyle w:val="934"/>
              <w:rPr>
                <w:sz w:val="24"/>
                <w:szCs w:val="24"/>
              </w:rPr>
            </w:pPr>
            <w:r>
              <w:rPr>
                <w:sz w:val="24"/>
                <w:szCs w:val="24"/>
              </w:rPr>
              <w:t xml:space="preserve">№ п/п</w:t>
            </w:r>
            <w:r>
              <w:rPr>
                <w:sz w:val="24"/>
                <w:szCs w:val="24"/>
              </w:rPr>
            </w:r>
            <w:r>
              <w:rPr>
                <w:sz w:val="24"/>
                <w:szCs w:val="24"/>
              </w:rPr>
            </w:r>
          </w:p>
        </w:tc>
        <w:tc>
          <w:tcPr>
            <w:tcBorders>
              <w:top w:val="single" w:color="000000" w:sz="4" w:space="0"/>
              <w:left w:val="none" w:color="FFFFFF" w:sz="255" w:space="0"/>
              <w:bottom w:val="single" w:color="000000" w:sz="4" w:space="0"/>
              <w:right w:val="single" w:color="000000" w:sz="4" w:space="0"/>
            </w:tcBorders>
            <w:tcW w:w="4504" w:type="dxa"/>
            <w:vAlign w:val="center"/>
            <w:textDirection w:val="lrTb"/>
            <w:noWrap/>
          </w:tcPr>
          <w:p>
            <w:pPr>
              <w:pStyle w:val="934"/>
              <w:jc w:val="center"/>
              <w:rPr>
                <w:sz w:val="24"/>
                <w:szCs w:val="24"/>
              </w:rPr>
            </w:pPr>
            <w:r>
              <w:rPr>
                <w:sz w:val="24"/>
                <w:szCs w:val="24"/>
              </w:rPr>
              <w:t xml:space="preserve">Наименование показателя</w:t>
            </w:r>
            <w:r>
              <w:rPr>
                <w:sz w:val="24"/>
                <w:szCs w:val="24"/>
              </w:rPr>
            </w:r>
            <w:r>
              <w:rPr>
                <w:sz w:val="24"/>
                <w:szCs w:val="24"/>
              </w:rPr>
            </w:r>
          </w:p>
        </w:tc>
        <w:tc>
          <w:tcPr>
            <w:tcBorders>
              <w:top w:val="single" w:color="000000" w:sz="4" w:space="0"/>
              <w:left w:val="none" w:color="FFFFFF" w:sz="255" w:space="0"/>
              <w:bottom w:val="single" w:color="000000" w:sz="4" w:space="0"/>
              <w:right w:val="single" w:color="000000" w:sz="4" w:space="0"/>
            </w:tcBorders>
            <w:tcW w:w="1418" w:type="dxa"/>
            <w:vAlign w:val="center"/>
            <w:textDirection w:val="lrTb"/>
            <w:noWrap w:val="false"/>
          </w:tcPr>
          <w:p>
            <w:pPr>
              <w:pStyle w:val="934"/>
              <w:jc w:val="center"/>
              <w:rPr>
                <w:sz w:val="24"/>
                <w:szCs w:val="24"/>
              </w:rPr>
            </w:pPr>
            <w:r>
              <w:rPr>
                <w:sz w:val="24"/>
                <w:szCs w:val="24"/>
              </w:rPr>
              <w:t xml:space="preserve">2024 год </w:t>
            </w:r>
            <w:r>
              <w:rPr>
                <w:sz w:val="24"/>
                <w:szCs w:val="24"/>
              </w:rPr>
            </w:r>
            <w:r>
              <w:rPr>
                <w:sz w:val="24"/>
                <w:szCs w:val="24"/>
              </w:rPr>
              <w:t xml:space="preserve">- </w:t>
            </w:r>
            <w:r/>
            <w:r>
              <w:rPr>
                <w:sz w:val="24"/>
                <w:szCs w:val="24"/>
              </w:rPr>
            </w:r>
            <w:r>
              <w:rPr>
                <w:sz w:val="24"/>
                <w:szCs w:val="24"/>
              </w:rPr>
              <w:t xml:space="preserve">план</w:t>
            </w:r>
            <w:r>
              <w:rPr>
                <w:sz w:val="24"/>
                <w:szCs w:val="24"/>
              </w:rPr>
            </w:r>
            <w:r>
              <w:rPr>
                <w:sz w:val="24"/>
                <w:szCs w:val="24"/>
              </w:rPr>
            </w:r>
          </w:p>
        </w:tc>
        <w:tc>
          <w:tcPr>
            <w:tcBorders>
              <w:top w:val="single" w:color="000000" w:sz="4" w:space="0"/>
              <w:left w:val="none" w:color="FFFFFF" w:sz="255" w:space="0"/>
              <w:bottom w:val="single" w:color="000000" w:sz="4" w:space="0"/>
              <w:right w:val="single" w:color="000000" w:sz="4" w:space="0"/>
            </w:tcBorders>
            <w:tcW w:w="1557" w:type="dxa"/>
            <w:vAlign w:val="center"/>
            <w:textDirection w:val="lrTb"/>
            <w:noWrap w:val="false"/>
          </w:tcPr>
          <w:p>
            <w:pPr>
              <w:pStyle w:val="934"/>
              <w:jc w:val="center"/>
              <w:rPr>
                <w:sz w:val="24"/>
                <w:szCs w:val="24"/>
              </w:rPr>
            </w:pPr>
            <w:r>
              <w:rPr>
                <w:sz w:val="24"/>
                <w:szCs w:val="24"/>
              </w:rPr>
              <w:t xml:space="preserve">2024 год - исполнено</w:t>
            </w:r>
            <w:r>
              <w:rPr>
                <w:sz w:val="24"/>
                <w:szCs w:val="24"/>
              </w:rPr>
            </w:r>
            <w:r>
              <w:rPr>
                <w:sz w:val="24"/>
                <w:szCs w:val="24"/>
              </w:rPr>
            </w:r>
          </w:p>
        </w:tc>
        <w:tc>
          <w:tcPr>
            <w:tcBorders>
              <w:top w:val="single" w:color="000000" w:sz="4" w:space="0"/>
              <w:left w:val="none" w:color="FFFFFF" w:sz="255" w:space="0"/>
              <w:bottom w:val="single" w:color="000000" w:sz="4" w:space="0"/>
              <w:right w:val="single" w:color="000000" w:sz="4" w:space="0"/>
            </w:tcBorders>
            <w:tcW w:w="1522" w:type="dxa"/>
            <w:vAlign w:val="center"/>
            <w:textDirection w:val="lrTb"/>
            <w:noWrap w:val="false"/>
          </w:tcPr>
          <w:p>
            <w:pPr>
              <w:pStyle w:val="934"/>
              <w:jc w:val="center"/>
              <w:rPr>
                <w:sz w:val="24"/>
                <w:szCs w:val="24"/>
              </w:rPr>
            </w:pPr>
            <w:r>
              <w:rPr>
                <w:sz w:val="24"/>
                <w:szCs w:val="24"/>
              </w:rPr>
              <w:t xml:space="preserve">% исполнения</w:t>
            </w:r>
            <w:r>
              <w:rPr>
                <w:sz w:val="24"/>
                <w:szCs w:val="24"/>
              </w:rPr>
            </w:r>
            <w:r>
              <w:rPr>
                <w:sz w:val="24"/>
                <w:szCs w:val="24"/>
              </w:rPr>
            </w:r>
          </w:p>
        </w:tc>
      </w:tr>
      <w:tr>
        <w:tblPrEx/>
        <w:trPr>
          <w:trHeight w:val="301"/>
        </w:trPr>
        <w:tc>
          <w:tcPr>
            <w:shd w:val="clear" w:color="000000" w:fill="ffff99"/>
            <w:tcBorders>
              <w:top w:val="none" w:color="FFFFFF" w:sz="255" w:space="0"/>
              <w:left w:val="single" w:color="000000" w:sz="4" w:space="0"/>
              <w:bottom w:val="single" w:color="000000" w:sz="4" w:space="0"/>
              <w:right w:val="single" w:color="000000" w:sz="4" w:space="0"/>
            </w:tcBorders>
            <w:tcW w:w="756" w:type="dxa"/>
            <w:vAlign w:val="bottom"/>
            <w:textDirection w:val="lrTb"/>
            <w:noWrap/>
          </w:tcPr>
          <w:p>
            <w:pPr>
              <w:pStyle w:val="934"/>
              <w:rPr>
                <w:b/>
                <w:bCs/>
                <w:sz w:val="24"/>
                <w:szCs w:val="24"/>
              </w:rPr>
            </w:pPr>
            <w:r>
              <w:rPr>
                <w:b/>
                <w:bCs/>
                <w:sz w:val="24"/>
                <w:szCs w:val="24"/>
              </w:rPr>
              <w:t xml:space="preserve">1.</w:t>
            </w:r>
            <w:r>
              <w:rPr>
                <w:b/>
                <w:bCs/>
                <w:sz w:val="24"/>
                <w:szCs w:val="24"/>
              </w:rPr>
            </w:r>
            <w:r>
              <w:rPr>
                <w:b/>
                <w:bCs/>
                <w:sz w:val="24"/>
                <w:szCs w:val="24"/>
              </w:rPr>
            </w:r>
          </w:p>
        </w:tc>
        <w:tc>
          <w:tcPr>
            <w:shd w:val="clear" w:color="000000" w:fill="ffff99"/>
            <w:tcBorders>
              <w:top w:val="none" w:color="FFFFFF" w:sz="255" w:space="0"/>
              <w:left w:val="none" w:color="FFFFFF" w:sz="255" w:space="0"/>
              <w:bottom w:val="single" w:color="000000" w:sz="4" w:space="0"/>
              <w:right w:val="single" w:color="000000" w:sz="4" w:space="0"/>
            </w:tcBorders>
            <w:tcW w:w="4504" w:type="dxa"/>
            <w:vAlign w:val="bottom"/>
            <w:textDirection w:val="lrTb"/>
            <w:noWrap/>
          </w:tcPr>
          <w:p>
            <w:pPr>
              <w:pStyle w:val="934"/>
              <w:rPr>
                <w:b/>
                <w:bCs/>
                <w:sz w:val="24"/>
                <w:szCs w:val="24"/>
              </w:rPr>
            </w:pPr>
            <w:r>
              <w:rPr>
                <w:b/>
                <w:bCs/>
                <w:sz w:val="24"/>
                <w:szCs w:val="24"/>
              </w:rPr>
              <w:t xml:space="preserve">Доходы бюджета - всего</w:t>
            </w:r>
            <w:r>
              <w:rPr>
                <w:b/>
                <w:bCs/>
                <w:sz w:val="24"/>
                <w:szCs w:val="24"/>
              </w:rPr>
            </w:r>
            <w:r>
              <w:rPr>
                <w:b/>
                <w:bCs/>
                <w:sz w:val="24"/>
                <w:szCs w:val="24"/>
              </w:rPr>
            </w:r>
          </w:p>
        </w:tc>
        <w:tc>
          <w:tcPr>
            <w:shd w:val="clear" w:color="000000" w:fill="ffff99"/>
            <w:tcBorders>
              <w:top w:val="none" w:color="FFFFFF" w:sz="255" w:space="0"/>
              <w:left w:val="none" w:color="FFFFFF" w:sz="255" w:space="0"/>
              <w:bottom w:val="single" w:color="000000" w:sz="4" w:space="0"/>
              <w:right w:val="single" w:color="000000" w:sz="4" w:space="0"/>
            </w:tcBorders>
            <w:tcW w:w="1418" w:type="dxa"/>
            <w:vAlign w:val="bottom"/>
            <w:textDirection w:val="lrTb"/>
            <w:noWrap/>
          </w:tcPr>
          <w:p>
            <w:pPr>
              <w:pStyle w:val="934"/>
              <w:jc w:val="center"/>
              <w:rPr>
                <w:b/>
                <w:bCs/>
                <w:sz w:val="24"/>
                <w:szCs w:val="24"/>
              </w:rPr>
            </w:pPr>
            <w:r>
              <w:rPr>
                <w:b/>
                <w:bCs/>
                <w:sz w:val="24"/>
                <w:szCs w:val="24"/>
              </w:rPr>
              <w:t xml:space="preserve">6 400 682</w:t>
            </w:r>
            <w:r>
              <w:rPr>
                <w:b/>
                <w:bCs/>
                <w:sz w:val="24"/>
                <w:szCs w:val="24"/>
              </w:rPr>
            </w:r>
            <w:r>
              <w:rPr>
                <w:b/>
                <w:bCs/>
                <w:sz w:val="24"/>
                <w:szCs w:val="24"/>
              </w:rPr>
            </w:r>
          </w:p>
        </w:tc>
        <w:tc>
          <w:tcPr>
            <w:shd w:val="clear" w:color="000000" w:fill="ffff99"/>
            <w:tcBorders>
              <w:top w:val="none" w:color="FFFFFF" w:sz="255" w:space="0"/>
              <w:left w:val="none" w:color="FFFFFF" w:sz="255" w:space="0"/>
              <w:bottom w:val="single" w:color="000000" w:sz="4" w:space="0"/>
              <w:right w:val="single" w:color="000000" w:sz="4" w:space="0"/>
            </w:tcBorders>
            <w:tcW w:w="1557" w:type="dxa"/>
            <w:vAlign w:val="bottom"/>
            <w:textDirection w:val="lrTb"/>
            <w:noWrap/>
          </w:tcPr>
          <w:p>
            <w:pPr>
              <w:pStyle w:val="934"/>
              <w:jc w:val="center"/>
              <w:rPr>
                <w:b/>
                <w:bCs/>
                <w:sz w:val="24"/>
                <w:szCs w:val="24"/>
              </w:rPr>
            </w:pPr>
            <w:r>
              <w:rPr>
                <w:b/>
                <w:bCs/>
                <w:sz w:val="24"/>
                <w:szCs w:val="24"/>
              </w:rPr>
              <w:t xml:space="preserve">6 399 651</w:t>
            </w:r>
            <w:r>
              <w:rPr>
                <w:b/>
                <w:bCs/>
                <w:sz w:val="24"/>
                <w:szCs w:val="24"/>
              </w:rPr>
            </w:r>
            <w:r>
              <w:rPr>
                <w:b/>
                <w:bCs/>
                <w:sz w:val="24"/>
                <w:szCs w:val="24"/>
              </w:rPr>
            </w:r>
          </w:p>
        </w:tc>
        <w:tc>
          <w:tcPr>
            <w:shd w:val="clear" w:color="000000" w:fill="ffff99"/>
            <w:tcBorders>
              <w:top w:val="none" w:color="FFFFFF" w:sz="255" w:space="0"/>
              <w:left w:val="none" w:color="FFFFFF" w:sz="255" w:space="0"/>
              <w:bottom w:val="single" w:color="000000" w:sz="4" w:space="0"/>
              <w:right w:val="single" w:color="000000" w:sz="4" w:space="0"/>
            </w:tcBorders>
            <w:tcW w:w="1522" w:type="dxa"/>
            <w:vAlign w:val="bottom"/>
            <w:textDirection w:val="lrTb"/>
            <w:noWrap/>
          </w:tcPr>
          <w:p>
            <w:pPr>
              <w:pStyle w:val="934"/>
              <w:jc w:val="center"/>
              <w:rPr>
                <w:b/>
                <w:bCs/>
                <w:sz w:val="24"/>
                <w:szCs w:val="24"/>
              </w:rPr>
            </w:pPr>
            <w:r>
              <w:rPr>
                <w:b/>
                <w:bCs/>
                <w:sz w:val="24"/>
                <w:szCs w:val="24"/>
              </w:rPr>
              <w:t xml:space="preserve">100,0</w:t>
            </w:r>
            <w:r>
              <w:rPr>
                <w:b/>
                <w:bCs/>
                <w:sz w:val="24"/>
                <w:szCs w:val="24"/>
              </w:rPr>
            </w:r>
            <w:r>
              <w:rPr>
                <w:b/>
                <w:bCs/>
                <w:sz w:val="24"/>
                <w:szCs w:val="24"/>
              </w:rPr>
            </w:r>
          </w:p>
        </w:tc>
      </w:tr>
      <w:tr>
        <w:tblPrEx/>
        <w:trPr>
          <w:trHeight w:val="301"/>
        </w:trPr>
        <w:tc>
          <w:tcPr>
            <w:shd w:val="clear" w:color="000000" w:fill="d8e4bc"/>
            <w:tcBorders>
              <w:top w:val="none" w:color="FFFFFF" w:sz="255" w:space="0"/>
              <w:left w:val="single" w:color="000000" w:sz="4" w:space="0"/>
              <w:bottom w:val="single" w:color="000000" w:sz="4" w:space="0"/>
              <w:right w:val="single" w:color="000000" w:sz="4" w:space="0"/>
            </w:tcBorders>
            <w:tcW w:w="756" w:type="dxa"/>
            <w:vAlign w:val="bottom"/>
            <w:textDirection w:val="lrTb"/>
            <w:noWrap/>
          </w:tcPr>
          <w:p>
            <w:pPr>
              <w:pStyle w:val="934"/>
              <w:rPr>
                <w:b/>
                <w:bCs/>
                <w:sz w:val="24"/>
                <w:szCs w:val="24"/>
              </w:rPr>
            </w:pPr>
            <w:r>
              <w:rPr>
                <w:b/>
                <w:bCs/>
                <w:sz w:val="24"/>
                <w:szCs w:val="24"/>
              </w:rPr>
              <w:t xml:space="preserve">1.1.</w:t>
            </w:r>
            <w:r>
              <w:rPr>
                <w:b/>
                <w:bCs/>
                <w:sz w:val="24"/>
                <w:szCs w:val="24"/>
              </w:rPr>
            </w:r>
            <w:r>
              <w:rPr>
                <w:b/>
                <w:bCs/>
                <w:sz w:val="24"/>
                <w:szCs w:val="24"/>
              </w:rPr>
            </w:r>
          </w:p>
        </w:tc>
        <w:tc>
          <w:tcPr>
            <w:shd w:val="clear" w:color="000000" w:fill="d8e4bc"/>
            <w:tcBorders>
              <w:top w:val="none" w:color="FFFFFF" w:sz="255" w:space="0"/>
              <w:left w:val="none" w:color="FFFFFF" w:sz="255" w:space="0"/>
              <w:bottom w:val="single" w:color="000000" w:sz="4" w:space="0"/>
              <w:right w:val="single" w:color="000000" w:sz="4" w:space="0"/>
            </w:tcBorders>
            <w:tcW w:w="4504" w:type="dxa"/>
            <w:vAlign w:val="bottom"/>
            <w:textDirection w:val="lrTb"/>
            <w:noWrap/>
          </w:tcPr>
          <w:p>
            <w:pPr>
              <w:pStyle w:val="934"/>
              <w:rPr>
                <w:b/>
                <w:bCs/>
                <w:sz w:val="24"/>
                <w:szCs w:val="24"/>
              </w:rPr>
            </w:pPr>
            <w:r>
              <w:rPr>
                <w:b/>
                <w:bCs/>
                <w:sz w:val="24"/>
                <w:szCs w:val="24"/>
              </w:rPr>
              <w:t xml:space="preserve">Налоговые и неналоговые доходы</w:t>
            </w:r>
            <w:r>
              <w:rPr>
                <w:b/>
                <w:bCs/>
                <w:sz w:val="24"/>
                <w:szCs w:val="24"/>
              </w:rPr>
            </w:r>
            <w:r>
              <w:rPr>
                <w:b/>
                <w:bCs/>
                <w:sz w:val="24"/>
                <w:szCs w:val="24"/>
              </w:rPr>
            </w:r>
          </w:p>
        </w:tc>
        <w:tc>
          <w:tcPr>
            <w:shd w:val="clear" w:color="000000" w:fill="d8e4bc"/>
            <w:tcBorders>
              <w:top w:val="none" w:color="FFFFFF" w:sz="255" w:space="0"/>
              <w:left w:val="none" w:color="FFFFFF" w:sz="255" w:space="0"/>
              <w:bottom w:val="single" w:color="000000" w:sz="4" w:space="0"/>
              <w:right w:val="single" w:color="000000" w:sz="4" w:space="0"/>
            </w:tcBorders>
            <w:tcW w:w="1418" w:type="dxa"/>
            <w:vAlign w:val="bottom"/>
            <w:textDirection w:val="lrTb"/>
            <w:noWrap/>
          </w:tcPr>
          <w:p>
            <w:pPr>
              <w:pStyle w:val="934"/>
              <w:jc w:val="center"/>
              <w:rPr>
                <w:b/>
                <w:bCs/>
                <w:sz w:val="24"/>
                <w:szCs w:val="24"/>
              </w:rPr>
            </w:pPr>
            <w:r>
              <w:rPr>
                <w:b/>
                <w:bCs/>
                <w:sz w:val="24"/>
                <w:szCs w:val="24"/>
              </w:rPr>
              <w:t xml:space="preserve">1 335 773</w:t>
            </w:r>
            <w:r>
              <w:rPr>
                <w:b/>
                <w:bCs/>
                <w:sz w:val="24"/>
                <w:szCs w:val="24"/>
              </w:rPr>
            </w:r>
            <w:r>
              <w:rPr>
                <w:b/>
                <w:bCs/>
                <w:sz w:val="24"/>
                <w:szCs w:val="24"/>
              </w:rPr>
            </w:r>
          </w:p>
        </w:tc>
        <w:tc>
          <w:tcPr>
            <w:shd w:val="clear" w:color="000000" w:fill="d8e4bc"/>
            <w:tcBorders>
              <w:top w:val="none" w:color="FFFFFF" w:sz="255" w:space="0"/>
              <w:left w:val="none" w:color="FFFFFF" w:sz="255" w:space="0"/>
              <w:bottom w:val="single" w:color="000000" w:sz="4" w:space="0"/>
              <w:right w:val="single" w:color="000000" w:sz="4" w:space="0"/>
            </w:tcBorders>
            <w:tcW w:w="1557" w:type="dxa"/>
            <w:vAlign w:val="bottom"/>
            <w:textDirection w:val="lrTb"/>
            <w:noWrap/>
          </w:tcPr>
          <w:p>
            <w:pPr>
              <w:pStyle w:val="934"/>
              <w:jc w:val="center"/>
              <w:rPr>
                <w:b/>
                <w:bCs/>
                <w:sz w:val="24"/>
                <w:szCs w:val="24"/>
              </w:rPr>
            </w:pPr>
            <w:r>
              <w:rPr>
                <w:b/>
                <w:bCs/>
                <w:sz w:val="24"/>
                <w:szCs w:val="24"/>
              </w:rPr>
              <w:t xml:space="preserve">1 352 972</w:t>
            </w:r>
            <w:r>
              <w:rPr>
                <w:b/>
                <w:bCs/>
                <w:sz w:val="24"/>
                <w:szCs w:val="24"/>
              </w:rPr>
            </w:r>
            <w:r>
              <w:rPr>
                <w:b/>
                <w:bCs/>
                <w:sz w:val="24"/>
                <w:szCs w:val="24"/>
              </w:rPr>
            </w:r>
          </w:p>
        </w:tc>
        <w:tc>
          <w:tcPr>
            <w:shd w:val="clear" w:color="000000" w:fill="d8e4bc"/>
            <w:tcBorders>
              <w:top w:val="none" w:color="FFFFFF" w:sz="255" w:space="0"/>
              <w:left w:val="none" w:color="FFFFFF" w:sz="255" w:space="0"/>
              <w:bottom w:val="single" w:color="000000" w:sz="4" w:space="0"/>
              <w:right w:val="single" w:color="000000" w:sz="4" w:space="0"/>
            </w:tcBorders>
            <w:tcW w:w="1522" w:type="dxa"/>
            <w:vAlign w:val="bottom"/>
            <w:textDirection w:val="lrTb"/>
            <w:noWrap/>
          </w:tcPr>
          <w:p>
            <w:pPr>
              <w:pStyle w:val="934"/>
              <w:jc w:val="center"/>
              <w:rPr>
                <w:b/>
                <w:bCs/>
                <w:sz w:val="24"/>
                <w:szCs w:val="24"/>
              </w:rPr>
            </w:pPr>
            <w:r>
              <w:rPr>
                <w:b/>
                <w:bCs/>
                <w:sz w:val="24"/>
                <w:szCs w:val="24"/>
              </w:rPr>
              <w:t xml:space="preserve">101,3</w:t>
            </w:r>
            <w:r>
              <w:rPr>
                <w:b/>
                <w:bCs/>
                <w:sz w:val="24"/>
                <w:szCs w:val="24"/>
              </w:rPr>
            </w:r>
            <w:r>
              <w:rPr>
                <w:b/>
                <w:bCs/>
                <w:sz w:val="24"/>
                <w:szCs w:val="24"/>
              </w:rPr>
            </w:r>
          </w:p>
        </w:tc>
      </w:tr>
      <w:tr>
        <w:tblPrEx/>
        <w:trPr>
          <w:trHeight w:val="301"/>
        </w:trPr>
        <w:tc>
          <w:tcPr>
            <w:tcBorders>
              <w:top w:val="none" w:color="FFFFFF" w:sz="255" w:space="0"/>
              <w:left w:val="single" w:color="000000" w:sz="4" w:space="0"/>
              <w:bottom w:val="single" w:color="000000" w:sz="4" w:space="0"/>
              <w:right w:val="single" w:color="000000" w:sz="4" w:space="0"/>
            </w:tcBorders>
            <w:tcW w:w="756" w:type="dxa"/>
            <w:vAlign w:val="bottom"/>
            <w:textDirection w:val="lrTb"/>
            <w:noWrap/>
          </w:tcPr>
          <w:p>
            <w:pPr>
              <w:pStyle w:val="934"/>
              <w:rPr>
                <w:sz w:val="24"/>
                <w:szCs w:val="24"/>
              </w:rPr>
            </w:pPr>
            <w:r>
              <w:rPr>
                <w:sz w:val="24"/>
                <w:szCs w:val="24"/>
              </w:rPr>
              <w:t xml:space="preserve">1.1.1.</w:t>
            </w:r>
            <w:r>
              <w:rPr>
                <w:sz w:val="24"/>
                <w:szCs w:val="24"/>
              </w:rPr>
            </w:r>
            <w:r>
              <w:rPr>
                <w:sz w:val="24"/>
                <w:szCs w:val="24"/>
              </w:rPr>
            </w:r>
          </w:p>
        </w:tc>
        <w:tc>
          <w:tcPr>
            <w:tcBorders>
              <w:top w:val="none" w:color="FFFFFF" w:sz="255" w:space="0"/>
              <w:left w:val="none" w:color="FFFFFF" w:sz="255" w:space="0"/>
              <w:bottom w:val="single" w:color="000000" w:sz="4" w:space="0"/>
              <w:right w:val="single" w:color="000000" w:sz="4" w:space="0"/>
            </w:tcBorders>
            <w:tcW w:w="4504" w:type="dxa"/>
            <w:vAlign w:val="bottom"/>
            <w:textDirection w:val="lrTb"/>
            <w:noWrap/>
          </w:tcPr>
          <w:p>
            <w:pPr>
              <w:pStyle w:val="934"/>
              <w:rPr>
                <w:sz w:val="24"/>
                <w:szCs w:val="24"/>
              </w:rPr>
            </w:pPr>
            <w:r>
              <w:rPr>
                <w:sz w:val="24"/>
                <w:szCs w:val="24"/>
              </w:rPr>
              <w:t xml:space="preserve">Налоговые доходы, в т.ч.</w:t>
            </w:r>
            <w:r>
              <w:rPr>
                <w:sz w:val="24"/>
                <w:szCs w:val="24"/>
              </w:rPr>
            </w:r>
            <w:r>
              <w:rPr>
                <w:sz w:val="24"/>
                <w:szCs w:val="24"/>
              </w:rPr>
            </w:r>
          </w:p>
        </w:tc>
        <w:tc>
          <w:tcPr>
            <w:tcBorders>
              <w:top w:val="none" w:color="FFFFFF" w:sz="255" w:space="0"/>
              <w:left w:val="none" w:color="FFFFFF" w:sz="255" w:space="0"/>
              <w:bottom w:val="single" w:color="000000" w:sz="4" w:space="0"/>
              <w:right w:val="single" w:color="000000" w:sz="4" w:space="0"/>
            </w:tcBorders>
            <w:tcW w:w="1418" w:type="dxa"/>
            <w:vAlign w:val="bottom"/>
            <w:textDirection w:val="lrTb"/>
            <w:noWrap/>
          </w:tcPr>
          <w:p>
            <w:pPr>
              <w:pStyle w:val="934"/>
              <w:jc w:val="center"/>
              <w:rPr>
                <w:b/>
                <w:bCs/>
                <w:sz w:val="24"/>
                <w:szCs w:val="24"/>
              </w:rPr>
            </w:pPr>
            <w:r>
              <w:rPr>
                <w:b/>
                <w:bCs/>
                <w:sz w:val="24"/>
                <w:szCs w:val="24"/>
              </w:rPr>
              <w:t xml:space="preserve">1 </w:t>
            </w:r>
            <w:r>
              <w:rPr>
                <w:b/>
                <w:bCs/>
                <w:sz w:val="24"/>
                <w:szCs w:val="24"/>
                <w:lang w:val="en-US"/>
              </w:rPr>
              <w:t xml:space="preserve">202</w:t>
            </w:r>
            <w:r>
              <w:rPr>
                <w:b/>
                <w:bCs/>
                <w:sz w:val="24"/>
                <w:szCs w:val="24"/>
              </w:rPr>
              <w:t xml:space="preserve"> 852</w:t>
            </w:r>
            <w:r>
              <w:rPr>
                <w:b/>
                <w:bCs/>
                <w:sz w:val="24"/>
                <w:szCs w:val="24"/>
              </w:rPr>
            </w:r>
            <w:r>
              <w:rPr>
                <w:b/>
                <w:bCs/>
                <w:sz w:val="24"/>
                <w:szCs w:val="24"/>
              </w:rPr>
            </w:r>
          </w:p>
        </w:tc>
        <w:tc>
          <w:tcPr>
            <w:tcBorders>
              <w:top w:val="none" w:color="FFFFFF" w:sz="255" w:space="0"/>
              <w:left w:val="none" w:color="FFFFFF" w:sz="255" w:space="0"/>
              <w:bottom w:val="single" w:color="000000" w:sz="4" w:space="0"/>
              <w:right w:val="single" w:color="000000" w:sz="4" w:space="0"/>
            </w:tcBorders>
            <w:tcW w:w="1557" w:type="dxa"/>
            <w:vAlign w:val="bottom"/>
            <w:textDirection w:val="lrTb"/>
            <w:noWrap/>
          </w:tcPr>
          <w:p>
            <w:pPr>
              <w:pStyle w:val="934"/>
              <w:jc w:val="center"/>
              <w:rPr>
                <w:b/>
                <w:bCs/>
                <w:sz w:val="24"/>
                <w:szCs w:val="24"/>
                <w:lang w:val="en-US"/>
              </w:rPr>
            </w:pPr>
            <w:r>
              <w:rPr>
                <w:b/>
                <w:bCs/>
                <w:sz w:val="24"/>
                <w:szCs w:val="24"/>
              </w:rPr>
              <w:t xml:space="preserve">1</w:t>
            </w:r>
            <w:r>
              <w:rPr>
                <w:b/>
                <w:bCs/>
                <w:sz w:val="24"/>
                <w:szCs w:val="24"/>
              </w:rPr>
              <w:t xml:space="preserve"> </w:t>
            </w:r>
            <w:r>
              <w:rPr>
                <w:b/>
                <w:bCs/>
                <w:sz w:val="24"/>
                <w:szCs w:val="24"/>
                <w:lang w:val="en-US"/>
              </w:rPr>
              <w:t xml:space="preserve">212 952</w:t>
            </w:r>
            <w:r>
              <w:rPr>
                <w:b/>
                <w:bCs/>
                <w:sz w:val="24"/>
                <w:szCs w:val="24"/>
                <w:lang w:val="en-US"/>
              </w:rPr>
            </w:r>
            <w:r>
              <w:rPr>
                <w:b/>
                <w:bCs/>
                <w:sz w:val="24"/>
                <w:szCs w:val="24"/>
                <w:lang w:val="en-US"/>
              </w:rPr>
            </w:r>
          </w:p>
        </w:tc>
        <w:tc>
          <w:tcPr>
            <w:tcBorders>
              <w:top w:val="none" w:color="FFFFFF" w:sz="255" w:space="0"/>
              <w:left w:val="none" w:color="FFFFFF" w:sz="255" w:space="0"/>
              <w:bottom w:val="single" w:color="000000" w:sz="4" w:space="0"/>
              <w:right w:val="single" w:color="000000" w:sz="4" w:space="0"/>
            </w:tcBorders>
            <w:tcW w:w="1522" w:type="dxa"/>
            <w:vAlign w:val="bottom"/>
            <w:textDirection w:val="lrTb"/>
            <w:noWrap/>
          </w:tcPr>
          <w:p>
            <w:pPr>
              <w:pStyle w:val="934"/>
              <w:jc w:val="center"/>
              <w:rPr>
                <w:b/>
                <w:bCs/>
                <w:sz w:val="24"/>
                <w:szCs w:val="24"/>
              </w:rPr>
            </w:pPr>
            <w:r>
              <w:rPr>
                <w:b/>
                <w:bCs/>
                <w:sz w:val="24"/>
                <w:szCs w:val="24"/>
              </w:rPr>
              <w:t xml:space="preserve">100,8</w:t>
            </w:r>
            <w:r>
              <w:rPr>
                <w:b/>
                <w:bCs/>
                <w:sz w:val="24"/>
                <w:szCs w:val="24"/>
              </w:rPr>
            </w:r>
            <w:r>
              <w:rPr>
                <w:b/>
                <w:bCs/>
                <w:sz w:val="24"/>
                <w:szCs w:val="24"/>
              </w:rPr>
            </w:r>
          </w:p>
        </w:tc>
      </w:tr>
      <w:tr>
        <w:tblPrEx/>
        <w:trPr>
          <w:trHeight w:val="301"/>
        </w:trPr>
        <w:tc>
          <w:tcPr>
            <w:tcBorders>
              <w:top w:val="none" w:color="FFFFFF" w:sz="255" w:space="0"/>
              <w:left w:val="single" w:color="000000" w:sz="4" w:space="0"/>
              <w:bottom w:val="single" w:color="000000" w:sz="4" w:space="0"/>
              <w:right w:val="single" w:color="000000" w:sz="4" w:space="0"/>
            </w:tcBorders>
            <w:tcW w:w="756" w:type="dxa"/>
            <w:vAlign w:val="bottom"/>
            <w:textDirection w:val="lrTb"/>
            <w:noWrap/>
          </w:tcPr>
          <w:p>
            <w:pPr>
              <w:pStyle w:val="934"/>
              <w:rPr>
                <w:sz w:val="24"/>
                <w:szCs w:val="24"/>
              </w:rPr>
            </w:pPr>
            <w:r>
              <w:rPr>
                <w:sz w:val="24"/>
                <w:szCs w:val="24"/>
              </w:rPr>
              <w:t xml:space="preserve"> </w:t>
            </w:r>
            <w:r>
              <w:rPr>
                <w:sz w:val="24"/>
                <w:szCs w:val="24"/>
              </w:rPr>
            </w:r>
            <w:r>
              <w:rPr>
                <w:sz w:val="24"/>
                <w:szCs w:val="24"/>
              </w:rPr>
            </w:r>
          </w:p>
        </w:tc>
        <w:tc>
          <w:tcPr>
            <w:tcBorders>
              <w:top w:val="none" w:color="FFFFFF" w:sz="255" w:space="0"/>
              <w:left w:val="none" w:color="FFFFFF" w:sz="255" w:space="0"/>
              <w:bottom w:val="single" w:color="000000" w:sz="4" w:space="0"/>
              <w:right w:val="single" w:color="000000" w:sz="4" w:space="0"/>
            </w:tcBorders>
            <w:tcW w:w="4504" w:type="dxa"/>
            <w:vAlign w:val="bottom"/>
            <w:textDirection w:val="lrTb"/>
            <w:noWrap/>
          </w:tcPr>
          <w:p>
            <w:pPr>
              <w:pStyle w:val="934"/>
              <w:rPr>
                <w:sz w:val="24"/>
                <w:szCs w:val="24"/>
              </w:rPr>
            </w:pPr>
            <w:r>
              <w:rPr>
                <w:sz w:val="24"/>
                <w:szCs w:val="24"/>
              </w:rPr>
              <w:t xml:space="preserve">Налог на прибыль, доходы (НДФЛ)</w:t>
            </w:r>
            <w:r>
              <w:rPr>
                <w:sz w:val="24"/>
                <w:szCs w:val="24"/>
              </w:rPr>
            </w:r>
            <w:r>
              <w:rPr>
                <w:sz w:val="24"/>
                <w:szCs w:val="24"/>
              </w:rPr>
            </w:r>
          </w:p>
        </w:tc>
        <w:tc>
          <w:tcPr>
            <w:tcBorders>
              <w:top w:val="none" w:color="FFFFFF" w:sz="255" w:space="0"/>
              <w:left w:val="none" w:color="FFFFFF" w:sz="255" w:space="0"/>
              <w:bottom w:val="single" w:color="000000" w:sz="4" w:space="0"/>
              <w:right w:val="single" w:color="000000" w:sz="4" w:space="0"/>
            </w:tcBorders>
            <w:tcW w:w="1418" w:type="dxa"/>
            <w:vAlign w:val="bottom"/>
            <w:textDirection w:val="lrTb"/>
            <w:noWrap/>
          </w:tcPr>
          <w:p>
            <w:pPr>
              <w:pStyle w:val="934"/>
              <w:jc w:val="center"/>
              <w:rPr>
                <w:sz w:val="24"/>
                <w:szCs w:val="24"/>
              </w:rPr>
            </w:pPr>
            <w:r>
              <w:rPr>
                <w:sz w:val="24"/>
                <w:szCs w:val="24"/>
              </w:rPr>
              <w:t xml:space="preserve">1 047 035</w:t>
            </w:r>
            <w:r>
              <w:rPr>
                <w:sz w:val="24"/>
                <w:szCs w:val="24"/>
              </w:rPr>
            </w:r>
            <w:r>
              <w:rPr>
                <w:sz w:val="24"/>
                <w:szCs w:val="24"/>
              </w:rPr>
            </w:r>
          </w:p>
        </w:tc>
        <w:tc>
          <w:tcPr>
            <w:tcBorders>
              <w:top w:val="none" w:color="FFFFFF" w:sz="255" w:space="0"/>
              <w:left w:val="none" w:color="FFFFFF" w:sz="255" w:space="0"/>
              <w:bottom w:val="single" w:color="000000" w:sz="4" w:space="0"/>
              <w:right w:val="single" w:color="000000" w:sz="4" w:space="0"/>
            </w:tcBorders>
            <w:tcW w:w="1557" w:type="dxa"/>
            <w:vAlign w:val="bottom"/>
            <w:textDirection w:val="lrTb"/>
            <w:noWrap/>
          </w:tcPr>
          <w:p>
            <w:pPr>
              <w:pStyle w:val="934"/>
              <w:jc w:val="center"/>
              <w:rPr>
                <w:sz w:val="24"/>
                <w:szCs w:val="24"/>
              </w:rPr>
            </w:pPr>
            <w:r>
              <w:rPr>
                <w:sz w:val="24"/>
                <w:szCs w:val="24"/>
              </w:rPr>
              <w:t xml:space="preserve">1 053 615</w:t>
            </w:r>
            <w:r>
              <w:rPr>
                <w:sz w:val="24"/>
                <w:szCs w:val="24"/>
              </w:rPr>
            </w:r>
            <w:r>
              <w:rPr>
                <w:sz w:val="24"/>
                <w:szCs w:val="24"/>
              </w:rPr>
            </w:r>
          </w:p>
        </w:tc>
        <w:tc>
          <w:tcPr>
            <w:tcBorders>
              <w:top w:val="none" w:color="FFFFFF" w:sz="255" w:space="0"/>
              <w:left w:val="none" w:color="FFFFFF" w:sz="255" w:space="0"/>
              <w:bottom w:val="single" w:color="000000" w:sz="4" w:space="0"/>
              <w:right w:val="single" w:color="000000" w:sz="4" w:space="0"/>
            </w:tcBorders>
            <w:tcW w:w="1522" w:type="dxa"/>
            <w:vAlign w:val="bottom"/>
            <w:textDirection w:val="lrTb"/>
            <w:noWrap/>
          </w:tcPr>
          <w:p>
            <w:pPr>
              <w:pStyle w:val="934"/>
              <w:jc w:val="center"/>
              <w:rPr>
                <w:b/>
                <w:bCs/>
                <w:sz w:val="24"/>
                <w:szCs w:val="24"/>
              </w:rPr>
            </w:pPr>
            <w:r>
              <w:rPr>
                <w:b/>
                <w:bCs/>
                <w:sz w:val="24"/>
                <w:szCs w:val="24"/>
              </w:rPr>
              <w:t xml:space="preserve">100,6</w:t>
            </w:r>
            <w:r>
              <w:rPr>
                <w:b/>
                <w:bCs/>
                <w:sz w:val="24"/>
                <w:szCs w:val="24"/>
              </w:rPr>
            </w:r>
            <w:r>
              <w:rPr>
                <w:b/>
                <w:bCs/>
                <w:sz w:val="24"/>
                <w:szCs w:val="24"/>
              </w:rPr>
            </w:r>
          </w:p>
        </w:tc>
      </w:tr>
      <w:tr>
        <w:tblPrEx/>
        <w:trPr>
          <w:trHeight w:val="301"/>
        </w:trPr>
        <w:tc>
          <w:tcPr>
            <w:tcBorders>
              <w:top w:val="none" w:color="FFFFFF" w:sz="255" w:space="0"/>
              <w:left w:val="single" w:color="000000" w:sz="4" w:space="0"/>
              <w:bottom w:val="single" w:color="000000" w:sz="4" w:space="0"/>
              <w:right w:val="single" w:color="000000" w:sz="4" w:space="0"/>
            </w:tcBorders>
            <w:tcW w:w="756" w:type="dxa"/>
            <w:vAlign w:val="bottom"/>
            <w:textDirection w:val="lrTb"/>
            <w:noWrap/>
          </w:tcPr>
          <w:p>
            <w:pPr>
              <w:pStyle w:val="934"/>
              <w:rPr>
                <w:sz w:val="24"/>
                <w:szCs w:val="24"/>
              </w:rPr>
            </w:pPr>
            <w:r>
              <w:rPr>
                <w:sz w:val="24"/>
                <w:szCs w:val="24"/>
              </w:rPr>
              <w:t xml:space="preserve"> </w:t>
            </w:r>
            <w:r>
              <w:rPr>
                <w:sz w:val="24"/>
                <w:szCs w:val="24"/>
              </w:rPr>
            </w:r>
            <w:r>
              <w:rPr>
                <w:sz w:val="24"/>
                <w:szCs w:val="24"/>
              </w:rPr>
            </w:r>
          </w:p>
        </w:tc>
        <w:tc>
          <w:tcPr>
            <w:tcBorders>
              <w:top w:val="none" w:color="FFFFFF" w:sz="255" w:space="0"/>
              <w:left w:val="none" w:color="FFFFFF" w:sz="255" w:space="0"/>
              <w:bottom w:val="single" w:color="000000" w:sz="4" w:space="0"/>
              <w:right w:val="single" w:color="000000" w:sz="4" w:space="0"/>
            </w:tcBorders>
            <w:tcW w:w="4504" w:type="dxa"/>
            <w:vAlign w:val="bottom"/>
            <w:textDirection w:val="lrTb"/>
            <w:noWrap/>
          </w:tcPr>
          <w:p>
            <w:pPr>
              <w:pStyle w:val="934"/>
              <w:rPr>
                <w:sz w:val="24"/>
                <w:szCs w:val="24"/>
              </w:rPr>
            </w:pPr>
            <w:r>
              <w:rPr>
                <w:sz w:val="24"/>
                <w:szCs w:val="24"/>
              </w:rPr>
              <w:t xml:space="preserve">Налоги на товары, реализуемые на территории РФ</w:t>
            </w:r>
            <w:r>
              <w:rPr>
                <w:sz w:val="24"/>
                <w:szCs w:val="24"/>
              </w:rPr>
            </w:r>
            <w:r>
              <w:rPr>
                <w:sz w:val="24"/>
                <w:szCs w:val="24"/>
              </w:rPr>
            </w:r>
          </w:p>
        </w:tc>
        <w:tc>
          <w:tcPr>
            <w:tcBorders>
              <w:top w:val="none" w:color="FFFFFF" w:sz="255" w:space="0"/>
              <w:left w:val="none" w:color="FFFFFF" w:sz="255" w:space="0"/>
              <w:bottom w:val="single" w:color="000000" w:sz="4" w:space="0"/>
              <w:right w:val="single" w:color="000000" w:sz="4" w:space="0"/>
            </w:tcBorders>
            <w:tcW w:w="1418" w:type="dxa"/>
            <w:vAlign w:val="bottom"/>
            <w:textDirection w:val="lrTb"/>
            <w:noWrap/>
          </w:tcPr>
          <w:p>
            <w:pPr>
              <w:pStyle w:val="934"/>
              <w:jc w:val="center"/>
              <w:rPr>
                <w:sz w:val="24"/>
                <w:szCs w:val="24"/>
              </w:rPr>
            </w:pPr>
            <w:r>
              <w:rPr>
                <w:sz w:val="24"/>
                <w:szCs w:val="24"/>
              </w:rPr>
              <w:t xml:space="preserve">44 709</w:t>
            </w:r>
            <w:r>
              <w:rPr>
                <w:sz w:val="24"/>
                <w:szCs w:val="24"/>
              </w:rPr>
            </w:r>
            <w:r>
              <w:rPr>
                <w:sz w:val="24"/>
                <w:szCs w:val="24"/>
              </w:rPr>
            </w:r>
          </w:p>
        </w:tc>
        <w:tc>
          <w:tcPr>
            <w:tcBorders>
              <w:top w:val="none" w:color="FFFFFF" w:sz="255" w:space="0"/>
              <w:left w:val="none" w:color="FFFFFF" w:sz="255" w:space="0"/>
              <w:bottom w:val="single" w:color="000000" w:sz="4" w:space="0"/>
              <w:right w:val="single" w:color="000000" w:sz="4" w:space="0"/>
            </w:tcBorders>
            <w:tcW w:w="1557" w:type="dxa"/>
            <w:vAlign w:val="bottom"/>
            <w:textDirection w:val="lrTb"/>
            <w:noWrap/>
          </w:tcPr>
          <w:p>
            <w:pPr>
              <w:pStyle w:val="934"/>
              <w:jc w:val="center"/>
              <w:rPr>
                <w:sz w:val="24"/>
                <w:szCs w:val="24"/>
              </w:rPr>
            </w:pPr>
            <w:r>
              <w:rPr>
                <w:sz w:val="24"/>
                <w:szCs w:val="24"/>
              </w:rPr>
              <w:t xml:space="preserve">44 839</w:t>
            </w:r>
            <w:r>
              <w:rPr>
                <w:sz w:val="24"/>
                <w:szCs w:val="24"/>
              </w:rPr>
            </w:r>
            <w:r>
              <w:rPr>
                <w:sz w:val="24"/>
                <w:szCs w:val="24"/>
              </w:rPr>
            </w:r>
          </w:p>
        </w:tc>
        <w:tc>
          <w:tcPr>
            <w:tcBorders>
              <w:top w:val="none" w:color="FFFFFF" w:sz="255" w:space="0"/>
              <w:left w:val="none" w:color="FFFFFF" w:sz="255" w:space="0"/>
              <w:bottom w:val="single" w:color="000000" w:sz="4" w:space="0"/>
              <w:right w:val="single" w:color="000000" w:sz="4" w:space="0"/>
            </w:tcBorders>
            <w:tcW w:w="1522" w:type="dxa"/>
            <w:vAlign w:val="bottom"/>
            <w:textDirection w:val="lrTb"/>
            <w:noWrap/>
          </w:tcPr>
          <w:p>
            <w:pPr>
              <w:pStyle w:val="934"/>
              <w:jc w:val="center"/>
              <w:rPr>
                <w:b/>
                <w:bCs/>
                <w:sz w:val="24"/>
                <w:szCs w:val="24"/>
              </w:rPr>
            </w:pPr>
            <w:r>
              <w:rPr>
                <w:b/>
                <w:bCs/>
                <w:sz w:val="24"/>
                <w:szCs w:val="24"/>
              </w:rPr>
              <w:t xml:space="preserve">100,3</w:t>
            </w:r>
            <w:r>
              <w:rPr>
                <w:b/>
                <w:bCs/>
                <w:sz w:val="24"/>
                <w:szCs w:val="24"/>
              </w:rPr>
            </w:r>
            <w:r>
              <w:rPr>
                <w:b/>
                <w:bCs/>
                <w:sz w:val="24"/>
                <w:szCs w:val="24"/>
              </w:rPr>
            </w:r>
          </w:p>
        </w:tc>
      </w:tr>
      <w:tr>
        <w:tblPrEx/>
        <w:trPr>
          <w:trHeight w:val="301"/>
        </w:trPr>
        <w:tc>
          <w:tcPr>
            <w:tcBorders>
              <w:top w:val="none" w:color="FFFFFF" w:sz="255" w:space="0"/>
              <w:left w:val="single" w:color="000000" w:sz="4" w:space="0"/>
              <w:bottom w:val="single" w:color="000000" w:sz="4" w:space="0"/>
              <w:right w:val="single" w:color="000000" w:sz="4" w:space="0"/>
            </w:tcBorders>
            <w:tcW w:w="756" w:type="dxa"/>
            <w:vAlign w:val="bottom"/>
            <w:textDirection w:val="lrTb"/>
            <w:noWrap/>
          </w:tcPr>
          <w:p>
            <w:pPr>
              <w:pStyle w:val="934"/>
              <w:rPr>
                <w:sz w:val="24"/>
                <w:szCs w:val="24"/>
              </w:rPr>
            </w:pPr>
            <w:r>
              <w:rPr>
                <w:sz w:val="24"/>
                <w:szCs w:val="24"/>
              </w:rPr>
              <w:t xml:space="preserve"> </w:t>
            </w:r>
            <w:r>
              <w:rPr>
                <w:sz w:val="24"/>
                <w:szCs w:val="24"/>
              </w:rPr>
            </w:r>
            <w:r>
              <w:rPr>
                <w:sz w:val="24"/>
                <w:szCs w:val="24"/>
              </w:rPr>
            </w:r>
          </w:p>
        </w:tc>
        <w:tc>
          <w:tcPr>
            <w:tcBorders>
              <w:top w:val="none" w:color="FFFFFF" w:sz="255" w:space="0"/>
              <w:left w:val="none" w:color="FFFFFF" w:sz="255" w:space="0"/>
              <w:bottom w:val="single" w:color="000000" w:sz="4" w:space="0"/>
              <w:right w:val="single" w:color="000000" w:sz="4" w:space="0"/>
            </w:tcBorders>
            <w:tcW w:w="4504" w:type="dxa"/>
            <w:vAlign w:val="bottom"/>
            <w:textDirection w:val="lrTb"/>
            <w:noWrap/>
          </w:tcPr>
          <w:p>
            <w:pPr>
              <w:pStyle w:val="934"/>
              <w:rPr>
                <w:sz w:val="24"/>
                <w:szCs w:val="24"/>
              </w:rPr>
            </w:pPr>
            <w:r>
              <w:rPr>
                <w:sz w:val="24"/>
                <w:szCs w:val="24"/>
              </w:rPr>
              <w:t xml:space="preserve">Налоги на совокупный доход (УСН, ЕНВД)</w:t>
            </w:r>
            <w:r>
              <w:rPr>
                <w:sz w:val="24"/>
                <w:szCs w:val="24"/>
              </w:rPr>
            </w:r>
            <w:r>
              <w:rPr>
                <w:sz w:val="24"/>
                <w:szCs w:val="24"/>
              </w:rPr>
            </w:r>
          </w:p>
        </w:tc>
        <w:tc>
          <w:tcPr>
            <w:tcBorders>
              <w:top w:val="none" w:color="FFFFFF" w:sz="255" w:space="0"/>
              <w:left w:val="none" w:color="FFFFFF" w:sz="255" w:space="0"/>
              <w:bottom w:val="single" w:color="000000" w:sz="4" w:space="0"/>
              <w:right w:val="single" w:color="000000" w:sz="4" w:space="0"/>
            </w:tcBorders>
            <w:tcW w:w="1418" w:type="dxa"/>
            <w:vAlign w:val="bottom"/>
            <w:textDirection w:val="lrTb"/>
            <w:noWrap/>
          </w:tcPr>
          <w:p>
            <w:pPr>
              <w:pStyle w:val="934"/>
              <w:jc w:val="center"/>
              <w:rPr>
                <w:sz w:val="24"/>
                <w:szCs w:val="24"/>
              </w:rPr>
            </w:pPr>
            <w:r>
              <w:rPr>
                <w:sz w:val="24"/>
                <w:szCs w:val="24"/>
              </w:rPr>
              <w:t xml:space="preserve">72 365</w:t>
            </w:r>
            <w:r>
              <w:rPr>
                <w:sz w:val="24"/>
                <w:szCs w:val="24"/>
              </w:rPr>
            </w:r>
            <w:r>
              <w:rPr>
                <w:sz w:val="24"/>
                <w:szCs w:val="24"/>
              </w:rPr>
            </w:r>
          </w:p>
        </w:tc>
        <w:tc>
          <w:tcPr>
            <w:tcBorders>
              <w:top w:val="none" w:color="FFFFFF" w:sz="255" w:space="0"/>
              <w:left w:val="none" w:color="FFFFFF" w:sz="255" w:space="0"/>
              <w:bottom w:val="single" w:color="000000" w:sz="4" w:space="0"/>
              <w:right w:val="single" w:color="000000" w:sz="4" w:space="0"/>
            </w:tcBorders>
            <w:tcW w:w="1557" w:type="dxa"/>
            <w:vAlign w:val="bottom"/>
            <w:textDirection w:val="lrTb"/>
            <w:noWrap/>
          </w:tcPr>
          <w:p>
            <w:pPr>
              <w:pStyle w:val="934"/>
              <w:jc w:val="center"/>
              <w:rPr>
                <w:sz w:val="24"/>
                <w:szCs w:val="24"/>
              </w:rPr>
            </w:pPr>
            <w:r>
              <w:rPr>
                <w:sz w:val="24"/>
                <w:szCs w:val="24"/>
              </w:rPr>
              <w:t xml:space="preserve">72 230</w:t>
            </w:r>
            <w:r>
              <w:rPr>
                <w:sz w:val="24"/>
                <w:szCs w:val="24"/>
              </w:rPr>
            </w:r>
            <w:r>
              <w:rPr>
                <w:sz w:val="24"/>
                <w:szCs w:val="24"/>
              </w:rPr>
            </w:r>
          </w:p>
        </w:tc>
        <w:tc>
          <w:tcPr>
            <w:tcBorders>
              <w:top w:val="none" w:color="FFFFFF" w:sz="255" w:space="0"/>
              <w:left w:val="none" w:color="FFFFFF" w:sz="255" w:space="0"/>
              <w:bottom w:val="single" w:color="000000" w:sz="4" w:space="0"/>
              <w:right w:val="single" w:color="000000" w:sz="4" w:space="0"/>
            </w:tcBorders>
            <w:tcW w:w="1522" w:type="dxa"/>
            <w:vAlign w:val="bottom"/>
            <w:textDirection w:val="lrTb"/>
            <w:noWrap/>
          </w:tcPr>
          <w:p>
            <w:pPr>
              <w:pStyle w:val="934"/>
              <w:jc w:val="center"/>
              <w:rPr>
                <w:b/>
                <w:bCs/>
                <w:sz w:val="24"/>
                <w:szCs w:val="24"/>
              </w:rPr>
            </w:pPr>
            <w:r>
              <w:rPr>
                <w:b/>
                <w:bCs/>
                <w:sz w:val="24"/>
                <w:szCs w:val="24"/>
              </w:rPr>
              <w:t xml:space="preserve">99,8</w:t>
            </w:r>
            <w:r>
              <w:rPr>
                <w:b/>
                <w:bCs/>
                <w:sz w:val="24"/>
                <w:szCs w:val="24"/>
              </w:rPr>
            </w:r>
            <w:r>
              <w:rPr>
                <w:b/>
                <w:bCs/>
                <w:sz w:val="24"/>
                <w:szCs w:val="24"/>
              </w:rPr>
            </w:r>
          </w:p>
        </w:tc>
      </w:tr>
      <w:tr>
        <w:tblPrEx/>
        <w:trPr>
          <w:trHeight w:val="603"/>
        </w:trPr>
        <w:tc>
          <w:tcPr>
            <w:tcBorders>
              <w:top w:val="none" w:color="FFFFFF" w:sz="255" w:space="0"/>
              <w:left w:val="single" w:color="000000" w:sz="4" w:space="0"/>
              <w:bottom w:val="single" w:color="000000" w:sz="4" w:space="0"/>
              <w:right w:val="single" w:color="000000" w:sz="4" w:space="0"/>
            </w:tcBorders>
            <w:tcW w:w="756" w:type="dxa"/>
            <w:vAlign w:val="bottom"/>
            <w:textDirection w:val="lrTb"/>
            <w:noWrap/>
          </w:tcPr>
          <w:p>
            <w:pPr>
              <w:pStyle w:val="934"/>
              <w:rPr>
                <w:sz w:val="24"/>
                <w:szCs w:val="24"/>
              </w:rPr>
            </w:pPr>
            <w:r>
              <w:rPr>
                <w:sz w:val="24"/>
                <w:szCs w:val="24"/>
              </w:rPr>
              <w:t xml:space="preserve"> </w:t>
            </w:r>
            <w:r>
              <w:rPr>
                <w:sz w:val="24"/>
                <w:szCs w:val="24"/>
              </w:rPr>
            </w:r>
            <w:r>
              <w:rPr>
                <w:sz w:val="24"/>
                <w:szCs w:val="24"/>
              </w:rPr>
            </w:r>
          </w:p>
        </w:tc>
        <w:tc>
          <w:tcPr>
            <w:tcBorders>
              <w:top w:val="none" w:color="FFFFFF" w:sz="255" w:space="0"/>
              <w:left w:val="none" w:color="FFFFFF" w:sz="255" w:space="0"/>
              <w:bottom w:val="single" w:color="000000" w:sz="4" w:space="0"/>
              <w:right w:val="single" w:color="000000" w:sz="4" w:space="0"/>
            </w:tcBorders>
            <w:tcW w:w="4504" w:type="dxa"/>
            <w:vAlign w:val="bottom"/>
            <w:textDirection w:val="lrTb"/>
            <w:noWrap w:val="false"/>
          </w:tcPr>
          <w:p>
            <w:pPr>
              <w:pStyle w:val="934"/>
              <w:rPr>
                <w:sz w:val="24"/>
                <w:szCs w:val="24"/>
              </w:rPr>
            </w:pPr>
            <w:r>
              <w:rPr>
                <w:sz w:val="24"/>
                <w:szCs w:val="24"/>
              </w:rPr>
              <w:t xml:space="preserve">Налоги на имущество (налог на имущество физ.лиц, транспортный налог, земельный налог)</w:t>
            </w:r>
            <w:r>
              <w:rPr>
                <w:sz w:val="24"/>
                <w:szCs w:val="24"/>
              </w:rPr>
            </w:r>
            <w:r>
              <w:rPr>
                <w:sz w:val="24"/>
                <w:szCs w:val="24"/>
              </w:rPr>
            </w:r>
          </w:p>
        </w:tc>
        <w:tc>
          <w:tcPr>
            <w:tcBorders>
              <w:top w:val="none" w:color="FFFFFF" w:sz="255" w:space="0"/>
              <w:left w:val="none" w:color="FFFFFF" w:sz="255" w:space="0"/>
              <w:bottom w:val="single" w:color="000000" w:sz="4" w:space="0"/>
              <w:right w:val="single" w:color="000000" w:sz="4" w:space="0"/>
            </w:tcBorders>
            <w:tcW w:w="1418" w:type="dxa"/>
            <w:vAlign w:val="bottom"/>
            <w:textDirection w:val="lrTb"/>
            <w:noWrap/>
          </w:tcPr>
          <w:p>
            <w:pPr>
              <w:pStyle w:val="934"/>
              <w:jc w:val="center"/>
              <w:rPr>
                <w:sz w:val="24"/>
                <w:szCs w:val="24"/>
              </w:rPr>
            </w:pPr>
            <w:r>
              <w:rPr>
                <w:sz w:val="24"/>
                <w:szCs w:val="24"/>
              </w:rPr>
              <w:t xml:space="preserve">32 158</w:t>
            </w:r>
            <w:r>
              <w:rPr>
                <w:sz w:val="24"/>
                <w:szCs w:val="24"/>
              </w:rPr>
            </w:r>
            <w:r>
              <w:rPr>
                <w:sz w:val="24"/>
                <w:szCs w:val="24"/>
              </w:rPr>
            </w:r>
          </w:p>
        </w:tc>
        <w:tc>
          <w:tcPr>
            <w:tcBorders>
              <w:top w:val="none" w:color="FFFFFF" w:sz="255" w:space="0"/>
              <w:left w:val="none" w:color="FFFFFF" w:sz="255" w:space="0"/>
              <w:bottom w:val="single" w:color="000000" w:sz="4" w:space="0"/>
              <w:right w:val="single" w:color="000000" w:sz="4" w:space="0"/>
            </w:tcBorders>
            <w:tcW w:w="1557" w:type="dxa"/>
            <w:vAlign w:val="bottom"/>
            <w:textDirection w:val="lrTb"/>
            <w:noWrap/>
          </w:tcPr>
          <w:p>
            <w:pPr>
              <w:pStyle w:val="934"/>
              <w:jc w:val="center"/>
              <w:rPr>
                <w:sz w:val="24"/>
                <w:szCs w:val="24"/>
              </w:rPr>
            </w:pPr>
            <w:r>
              <w:rPr>
                <w:sz w:val="24"/>
                <w:szCs w:val="24"/>
              </w:rPr>
              <w:t xml:space="preserve">34 664</w:t>
            </w:r>
            <w:r>
              <w:rPr>
                <w:sz w:val="24"/>
                <w:szCs w:val="24"/>
              </w:rPr>
            </w:r>
            <w:r>
              <w:rPr>
                <w:sz w:val="24"/>
                <w:szCs w:val="24"/>
              </w:rPr>
            </w:r>
          </w:p>
        </w:tc>
        <w:tc>
          <w:tcPr>
            <w:tcBorders>
              <w:top w:val="none" w:color="FFFFFF" w:sz="255" w:space="0"/>
              <w:left w:val="none" w:color="FFFFFF" w:sz="255" w:space="0"/>
              <w:bottom w:val="single" w:color="000000" w:sz="4" w:space="0"/>
              <w:right w:val="single" w:color="000000" w:sz="4" w:space="0"/>
            </w:tcBorders>
            <w:tcW w:w="1522" w:type="dxa"/>
            <w:vAlign w:val="bottom"/>
            <w:textDirection w:val="lrTb"/>
            <w:noWrap/>
          </w:tcPr>
          <w:p>
            <w:pPr>
              <w:pStyle w:val="934"/>
              <w:jc w:val="center"/>
              <w:rPr>
                <w:b/>
                <w:bCs/>
                <w:sz w:val="24"/>
                <w:szCs w:val="24"/>
              </w:rPr>
            </w:pPr>
            <w:r>
              <w:rPr>
                <w:b/>
                <w:bCs/>
                <w:sz w:val="24"/>
                <w:szCs w:val="24"/>
              </w:rPr>
              <w:t xml:space="preserve">107,8</w:t>
            </w:r>
            <w:r>
              <w:rPr>
                <w:b/>
                <w:bCs/>
                <w:sz w:val="24"/>
                <w:szCs w:val="24"/>
              </w:rPr>
            </w:r>
            <w:r>
              <w:rPr>
                <w:b/>
                <w:bCs/>
                <w:sz w:val="24"/>
                <w:szCs w:val="24"/>
              </w:rPr>
            </w:r>
          </w:p>
        </w:tc>
      </w:tr>
      <w:tr>
        <w:tblPrEx/>
        <w:trPr>
          <w:trHeight w:val="337"/>
        </w:trPr>
        <w:tc>
          <w:tcPr>
            <w:tcBorders>
              <w:top w:val="none" w:color="FFFFFF" w:sz="255" w:space="0"/>
              <w:left w:val="single" w:color="000000" w:sz="4" w:space="0"/>
              <w:bottom w:val="single" w:color="000000" w:sz="4" w:space="0"/>
              <w:right w:val="single" w:color="000000" w:sz="4" w:space="0"/>
            </w:tcBorders>
            <w:tcW w:w="756" w:type="dxa"/>
            <w:vAlign w:val="bottom"/>
            <w:textDirection w:val="lrTb"/>
            <w:noWrap/>
          </w:tcPr>
          <w:p>
            <w:pPr>
              <w:pStyle w:val="934"/>
              <w:rPr>
                <w:sz w:val="24"/>
                <w:szCs w:val="24"/>
              </w:rPr>
            </w:pPr>
            <w:r>
              <w:rPr>
                <w:sz w:val="24"/>
                <w:szCs w:val="24"/>
              </w:rPr>
            </w:r>
            <w:r>
              <w:rPr>
                <w:sz w:val="24"/>
                <w:szCs w:val="24"/>
              </w:rPr>
            </w:r>
            <w:r>
              <w:rPr>
                <w:sz w:val="24"/>
                <w:szCs w:val="24"/>
              </w:rPr>
            </w:r>
          </w:p>
        </w:tc>
        <w:tc>
          <w:tcPr>
            <w:tcBorders>
              <w:top w:val="none" w:color="FFFFFF" w:sz="255" w:space="0"/>
              <w:left w:val="none" w:color="FFFFFF" w:sz="255" w:space="0"/>
              <w:bottom w:val="single" w:color="000000" w:sz="4" w:space="0"/>
              <w:right w:val="single" w:color="000000" w:sz="4" w:space="0"/>
            </w:tcBorders>
            <w:tcW w:w="4504" w:type="dxa"/>
            <w:vAlign w:val="bottom"/>
            <w:textDirection w:val="lrTb"/>
            <w:noWrap w:val="false"/>
          </w:tcPr>
          <w:p>
            <w:pPr>
              <w:pStyle w:val="934"/>
              <w:rPr>
                <w:sz w:val="24"/>
                <w:szCs w:val="24"/>
              </w:rPr>
            </w:pPr>
            <w:r>
              <w:rPr>
                <w:sz w:val="24"/>
                <w:szCs w:val="24"/>
              </w:rPr>
              <w:t xml:space="preserve">Гос.пошлина</w:t>
            </w:r>
            <w:r>
              <w:rPr>
                <w:sz w:val="24"/>
                <w:szCs w:val="24"/>
              </w:rPr>
            </w:r>
            <w:r>
              <w:rPr>
                <w:sz w:val="24"/>
                <w:szCs w:val="24"/>
              </w:rPr>
            </w:r>
          </w:p>
        </w:tc>
        <w:tc>
          <w:tcPr>
            <w:tcBorders>
              <w:top w:val="none" w:color="FFFFFF" w:sz="255" w:space="0"/>
              <w:left w:val="none" w:color="FFFFFF" w:sz="255" w:space="0"/>
              <w:bottom w:val="single" w:color="000000" w:sz="4" w:space="0"/>
              <w:right w:val="single" w:color="000000" w:sz="4" w:space="0"/>
            </w:tcBorders>
            <w:tcW w:w="1418" w:type="dxa"/>
            <w:vAlign w:val="bottom"/>
            <w:textDirection w:val="lrTb"/>
            <w:noWrap/>
          </w:tcPr>
          <w:p>
            <w:pPr>
              <w:pStyle w:val="934"/>
              <w:jc w:val="center"/>
              <w:rPr>
                <w:sz w:val="24"/>
                <w:szCs w:val="24"/>
              </w:rPr>
            </w:pPr>
            <w:r>
              <w:rPr>
                <w:sz w:val="24"/>
                <w:szCs w:val="24"/>
              </w:rPr>
              <w:t xml:space="preserve">6 585</w:t>
            </w:r>
            <w:r>
              <w:rPr>
                <w:sz w:val="24"/>
                <w:szCs w:val="24"/>
              </w:rPr>
            </w:r>
            <w:r>
              <w:rPr>
                <w:sz w:val="24"/>
                <w:szCs w:val="24"/>
              </w:rPr>
            </w:r>
          </w:p>
        </w:tc>
        <w:tc>
          <w:tcPr>
            <w:tcBorders>
              <w:top w:val="none" w:color="FFFFFF" w:sz="255" w:space="0"/>
              <w:left w:val="none" w:color="FFFFFF" w:sz="255" w:space="0"/>
              <w:bottom w:val="single" w:color="000000" w:sz="4" w:space="0"/>
              <w:right w:val="single" w:color="000000" w:sz="4" w:space="0"/>
            </w:tcBorders>
            <w:tcW w:w="1557" w:type="dxa"/>
            <w:vAlign w:val="bottom"/>
            <w:textDirection w:val="lrTb"/>
            <w:noWrap/>
          </w:tcPr>
          <w:p>
            <w:pPr>
              <w:pStyle w:val="934"/>
              <w:jc w:val="center"/>
              <w:rPr>
                <w:sz w:val="24"/>
                <w:szCs w:val="24"/>
              </w:rPr>
            </w:pPr>
            <w:r>
              <w:rPr>
                <w:sz w:val="24"/>
                <w:szCs w:val="24"/>
              </w:rPr>
              <w:t xml:space="preserve">7 604</w:t>
            </w:r>
            <w:r>
              <w:rPr>
                <w:sz w:val="24"/>
                <w:szCs w:val="24"/>
              </w:rPr>
            </w:r>
            <w:r>
              <w:rPr>
                <w:sz w:val="24"/>
                <w:szCs w:val="24"/>
              </w:rPr>
            </w:r>
          </w:p>
        </w:tc>
        <w:tc>
          <w:tcPr>
            <w:tcBorders>
              <w:top w:val="none" w:color="FFFFFF" w:sz="255" w:space="0"/>
              <w:left w:val="none" w:color="FFFFFF" w:sz="255" w:space="0"/>
              <w:bottom w:val="single" w:color="000000" w:sz="4" w:space="0"/>
              <w:right w:val="single" w:color="000000" w:sz="4" w:space="0"/>
            </w:tcBorders>
            <w:tcW w:w="1522" w:type="dxa"/>
            <w:vAlign w:val="bottom"/>
            <w:textDirection w:val="lrTb"/>
            <w:noWrap/>
          </w:tcPr>
          <w:p>
            <w:pPr>
              <w:pStyle w:val="934"/>
              <w:jc w:val="center"/>
              <w:rPr>
                <w:b/>
                <w:bCs/>
                <w:sz w:val="24"/>
                <w:szCs w:val="24"/>
              </w:rPr>
            </w:pPr>
            <w:r>
              <w:rPr>
                <w:b/>
                <w:bCs/>
                <w:sz w:val="24"/>
                <w:szCs w:val="24"/>
              </w:rPr>
              <w:t xml:space="preserve">115,5</w:t>
            </w:r>
            <w:r>
              <w:rPr>
                <w:b/>
                <w:bCs/>
                <w:sz w:val="24"/>
                <w:szCs w:val="24"/>
              </w:rPr>
            </w:r>
            <w:r>
              <w:rPr>
                <w:b/>
                <w:bCs/>
                <w:sz w:val="24"/>
                <w:szCs w:val="24"/>
              </w:rPr>
            </w:r>
          </w:p>
        </w:tc>
      </w:tr>
      <w:tr>
        <w:tblPrEx/>
        <w:trPr>
          <w:trHeight w:val="301"/>
        </w:trPr>
        <w:tc>
          <w:tcPr>
            <w:tcBorders>
              <w:top w:val="none" w:color="FFFFFF" w:sz="255" w:space="0"/>
              <w:left w:val="single" w:color="000000" w:sz="4" w:space="0"/>
              <w:bottom w:val="single" w:color="000000" w:sz="4" w:space="0"/>
              <w:right w:val="single" w:color="000000" w:sz="4" w:space="0"/>
            </w:tcBorders>
            <w:tcW w:w="756" w:type="dxa"/>
            <w:vAlign w:val="bottom"/>
            <w:textDirection w:val="lrTb"/>
            <w:noWrap/>
          </w:tcPr>
          <w:p>
            <w:pPr>
              <w:pStyle w:val="934"/>
              <w:rPr>
                <w:sz w:val="24"/>
                <w:szCs w:val="24"/>
              </w:rPr>
            </w:pPr>
            <w:r>
              <w:rPr>
                <w:sz w:val="24"/>
                <w:szCs w:val="24"/>
              </w:rPr>
              <w:t xml:space="preserve">1.1.2.</w:t>
            </w:r>
            <w:r>
              <w:rPr>
                <w:sz w:val="24"/>
                <w:szCs w:val="24"/>
              </w:rPr>
            </w:r>
            <w:r>
              <w:rPr>
                <w:sz w:val="24"/>
                <w:szCs w:val="24"/>
              </w:rPr>
            </w:r>
          </w:p>
        </w:tc>
        <w:tc>
          <w:tcPr>
            <w:tcBorders>
              <w:top w:val="none" w:color="FFFFFF" w:sz="255" w:space="0"/>
              <w:left w:val="none" w:color="FFFFFF" w:sz="255" w:space="0"/>
              <w:bottom w:val="single" w:color="000000" w:sz="4" w:space="0"/>
              <w:right w:val="single" w:color="000000" w:sz="4" w:space="0"/>
            </w:tcBorders>
            <w:tcW w:w="4504" w:type="dxa"/>
            <w:vAlign w:val="bottom"/>
            <w:textDirection w:val="lrTb"/>
            <w:noWrap w:val="false"/>
          </w:tcPr>
          <w:p>
            <w:pPr>
              <w:pStyle w:val="934"/>
              <w:rPr>
                <w:sz w:val="24"/>
                <w:szCs w:val="24"/>
              </w:rPr>
            </w:pPr>
            <w:r>
              <w:rPr>
                <w:sz w:val="24"/>
                <w:szCs w:val="24"/>
              </w:rPr>
              <w:t xml:space="preserve">Неналоговые доходы, в т.ч.</w:t>
            </w:r>
            <w:r>
              <w:rPr>
                <w:sz w:val="24"/>
                <w:szCs w:val="24"/>
              </w:rPr>
            </w:r>
            <w:r>
              <w:rPr>
                <w:sz w:val="24"/>
                <w:szCs w:val="24"/>
              </w:rPr>
            </w:r>
          </w:p>
        </w:tc>
        <w:tc>
          <w:tcPr>
            <w:tcBorders>
              <w:top w:val="none" w:color="FFFFFF" w:sz="255" w:space="0"/>
              <w:left w:val="none" w:color="FFFFFF" w:sz="255" w:space="0"/>
              <w:bottom w:val="single" w:color="000000" w:sz="4" w:space="0"/>
              <w:right w:val="single" w:color="000000" w:sz="4" w:space="0"/>
            </w:tcBorders>
            <w:tcW w:w="1418" w:type="dxa"/>
            <w:vAlign w:val="bottom"/>
            <w:textDirection w:val="lrTb"/>
            <w:noWrap/>
          </w:tcPr>
          <w:p>
            <w:pPr>
              <w:pStyle w:val="934"/>
              <w:jc w:val="center"/>
              <w:rPr>
                <w:b/>
                <w:bCs/>
                <w:sz w:val="24"/>
                <w:szCs w:val="24"/>
                <w:lang w:val="en-US"/>
              </w:rPr>
            </w:pPr>
            <w:r>
              <w:rPr>
                <w:b/>
                <w:bCs/>
                <w:sz w:val="24"/>
                <w:szCs w:val="24"/>
                <w:lang w:val="en-US"/>
              </w:rPr>
              <w:t xml:space="preserve">132 921</w:t>
            </w:r>
            <w:r>
              <w:rPr>
                <w:b/>
                <w:bCs/>
                <w:sz w:val="24"/>
                <w:szCs w:val="24"/>
                <w:lang w:val="en-US"/>
              </w:rPr>
            </w:r>
            <w:r>
              <w:rPr>
                <w:b/>
                <w:bCs/>
                <w:sz w:val="24"/>
                <w:szCs w:val="24"/>
                <w:lang w:val="en-US"/>
              </w:rPr>
            </w:r>
          </w:p>
        </w:tc>
        <w:tc>
          <w:tcPr>
            <w:tcBorders>
              <w:top w:val="none" w:color="FFFFFF" w:sz="255" w:space="0"/>
              <w:left w:val="none" w:color="FFFFFF" w:sz="255" w:space="0"/>
              <w:bottom w:val="single" w:color="000000" w:sz="4" w:space="0"/>
              <w:right w:val="single" w:color="000000" w:sz="4" w:space="0"/>
            </w:tcBorders>
            <w:tcW w:w="1557" w:type="dxa"/>
            <w:vAlign w:val="bottom"/>
            <w:textDirection w:val="lrTb"/>
            <w:noWrap/>
          </w:tcPr>
          <w:p>
            <w:pPr>
              <w:pStyle w:val="934"/>
              <w:jc w:val="center"/>
              <w:rPr>
                <w:b/>
                <w:bCs/>
                <w:sz w:val="24"/>
                <w:szCs w:val="24"/>
                <w:lang w:val="en-US"/>
              </w:rPr>
            </w:pPr>
            <w:r>
              <w:rPr>
                <w:b/>
                <w:bCs/>
                <w:sz w:val="24"/>
                <w:szCs w:val="24"/>
                <w:lang w:val="en-US"/>
              </w:rPr>
              <w:t xml:space="preserve">140 0</w:t>
            </w:r>
            <w:r>
              <w:rPr>
                <w:b/>
                <w:bCs/>
                <w:sz w:val="24"/>
                <w:szCs w:val="24"/>
                <w:lang w:val="en-US"/>
              </w:rPr>
              <w:t xml:space="preserve">2</w:t>
            </w:r>
            <w:r>
              <w:rPr>
                <w:b/>
                <w:bCs/>
                <w:sz w:val="24"/>
                <w:szCs w:val="24"/>
                <w:lang w:val="en-US"/>
              </w:rPr>
              <w:t xml:space="preserve">0</w:t>
            </w:r>
            <w:r>
              <w:rPr>
                <w:b/>
                <w:bCs/>
                <w:sz w:val="24"/>
                <w:szCs w:val="24"/>
                <w:lang w:val="en-US"/>
              </w:rPr>
            </w:r>
            <w:r>
              <w:rPr>
                <w:b/>
                <w:bCs/>
                <w:sz w:val="24"/>
                <w:szCs w:val="24"/>
                <w:lang w:val="en-US"/>
              </w:rPr>
            </w:r>
          </w:p>
        </w:tc>
        <w:tc>
          <w:tcPr>
            <w:tcBorders>
              <w:top w:val="none" w:color="FFFFFF" w:sz="255" w:space="0"/>
              <w:left w:val="none" w:color="FFFFFF" w:sz="255" w:space="0"/>
              <w:bottom w:val="single" w:color="000000" w:sz="4" w:space="0"/>
              <w:right w:val="single" w:color="000000" w:sz="4" w:space="0"/>
            </w:tcBorders>
            <w:tcW w:w="1522" w:type="dxa"/>
            <w:vAlign w:val="bottom"/>
            <w:textDirection w:val="lrTb"/>
            <w:noWrap/>
          </w:tcPr>
          <w:p>
            <w:pPr>
              <w:pStyle w:val="934"/>
              <w:jc w:val="center"/>
              <w:rPr>
                <w:b/>
                <w:bCs/>
                <w:sz w:val="24"/>
                <w:szCs w:val="24"/>
              </w:rPr>
            </w:pPr>
            <w:r>
              <w:rPr>
                <w:b/>
                <w:bCs/>
                <w:sz w:val="24"/>
                <w:szCs w:val="24"/>
              </w:rPr>
              <w:t xml:space="preserve">105,</w:t>
            </w:r>
            <w:r>
              <w:rPr>
                <w:b/>
                <w:bCs/>
                <w:sz w:val="24"/>
                <w:szCs w:val="24"/>
              </w:rPr>
              <w:t xml:space="preserve">3</w:t>
            </w:r>
            <w:r>
              <w:rPr>
                <w:b/>
                <w:bCs/>
                <w:sz w:val="24"/>
                <w:szCs w:val="24"/>
              </w:rPr>
            </w:r>
            <w:r>
              <w:rPr>
                <w:b/>
                <w:bCs/>
                <w:sz w:val="24"/>
                <w:szCs w:val="24"/>
              </w:rPr>
            </w:r>
          </w:p>
        </w:tc>
      </w:tr>
      <w:tr>
        <w:tblPrEx/>
        <w:trPr>
          <w:trHeight w:val="603"/>
        </w:trPr>
        <w:tc>
          <w:tcPr>
            <w:tcBorders>
              <w:top w:val="none" w:color="FFFFFF" w:sz="255" w:space="0"/>
              <w:left w:val="single" w:color="000000" w:sz="4" w:space="0"/>
              <w:bottom w:val="single" w:color="000000" w:sz="4" w:space="0"/>
              <w:right w:val="single" w:color="000000" w:sz="4" w:space="0"/>
            </w:tcBorders>
            <w:tcW w:w="756" w:type="dxa"/>
            <w:vAlign w:val="bottom"/>
            <w:textDirection w:val="lrTb"/>
            <w:noWrap/>
          </w:tcPr>
          <w:p>
            <w:pPr>
              <w:pStyle w:val="934"/>
              <w:rPr>
                <w:sz w:val="24"/>
                <w:szCs w:val="24"/>
              </w:rPr>
            </w:pPr>
            <w:r>
              <w:rPr>
                <w:sz w:val="24"/>
                <w:szCs w:val="24"/>
              </w:rPr>
              <w:t xml:space="preserve"> </w:t>
            </w:r>
            <w:r>
              <w:rPr>
                <w:sz w:val="24"/>
                <w:szCs w:val="24"/>
              </w:rPr>
            </w:r>
            <w:r>
              <w:rPr>
                <w:sz w:val="24"/>
                <w:szCs w:val="24"/>
              </w:rPr>
            </w:r>
          </w:p>
        </w:tc>
        <w:tc>
          <w:tcPr>
            <w:tcBorders>
              <w:top w:val="none" w:color="FFFFFF" w:sz="255" w:space="0"/>
              <w:left w:val="none" w:color="FFFFFF" w:sz="255" w:space="0"/>
              <w:bottom w:val="single" w:color="000000" w:sz="4" w:space="0"/>
              <w:right w:val="single" w:color="000000" w:sz="4" w:space="0"/>
            </w:tcBorders>
            <w:tcW w:w="4504" w:type="dxa"/>
            <w:vAlign w:val="bottom"/>
            <w:textDirection w:val="lrTb"/>
            <w:noWrap w:val="false"/>
          </w:tcPr>
          <w:p>
            <w:pPr>
              <w:pStyle w:val="934"/>
              <w:rPr>
                <w:sz w:val="24"/>
                <w:szCs w:val="24"/>
              </w:rPr>
            </w:pPr>
            <w:r>
              <w:rPr>
                <w:sz w:val="24"/>
                <w:szCs w:val="24"/>
              </w:rPr>
              <w:t xml:space="preserve">Доходы от использования имущества, находящегося в гос. и мун. собственности</w:t>
            </w:r>
            <w:r>
              <w:rPr>
                <w:sz w:val="24"/>
                <w:szCs w:val="24"/>
              </w:rPr>
            </w:r>
            <w:r>
              <w:rPr>
                <w:sz w:val="24"/>
                <w:szCs w:val="24"/>
              </w:rPr>
            </w:r>
          </w:p>
        </w:tc>
        <w:tc>
          <w:tcPr>
            <w:tcBorders>
              <w:top w:val="none" w:color="FFFFFF" w:sz="255" w:space="0"/>
              <w:left w:val="none" w:color="FFFFFF" w:sz="255" w:space="0"/>
              <w:bottom w:val="single" w:color="000000" w:sz="4" w:space="0"/>
              <w:right w:val="single" w:color="000000" w:sz="4" w:space="0"/>
            </w:tcBorders>
            <w:tcW w:w="1418" w:type="dxa"/>
            <w:vAlign w:val="bottom"/>
            <w:textDirection w:val="lrTb"/>
            <w:noWrap/>
          </w:tcPr>
          <w:p>
            <w:pPr>
              <w:pStyle w:val="934"/>
              <w:jc w:val="center"/>
              <w:rPr>
                <w:sz w:val="24"/>
                <w:szCs w:val="24"/>
              </w:rPr>
            </w:pPr>
            <w:r>
              <w:rPr>
                <w:sz w:val="24"/>
                <w:szCs w:val="24"/>
              </w:rPr>
              <w:t xml:space="preserve">39 519</w:t>
            </w:r>
            <w:r>
              <w:rPr>
                <w:sz w:val="24"/>
                <w:szCs w:val="24"/>
              </w:rPr>
            </w:r>
            <w:r>
              <w:rPr>
                <w:sz w:val="24"/>
                <w:szCs w:val="24"/>
              </w:rPr>
            </w:r>
          </w:p>
        </w:tc>
        <w:tc>
          <w:tcPr>
            <w:tcBorders>
              <w:top w:val="none" w:color="FFFFFF" w:sz="255" w:space="0"/>
              <w:left w:val="none" w:color="FFFFFF" w:sz="255" w:space="0"/>
              <w:bottom w:val="single" w:color="000000" w:sz="4" w:space="0"/>
              <w:right w:val="single" w:color="000000" w:sz="4" w:space="0"/>
            </w:tcBorders>
            <w:tcW w:w="1557" w:type="dxa"/>
            <w:vAlign w:val="bottom"/>
            <w:textDirection w:val="lrTb"/>
            <w:noWrap/>
          </w:tcPr>
          <w:p>
            <w:pPr>
              <w:pStyle w:val="934"/>
              <w:jc w:val="center"/>
              <w:rPr>
                <w:sz w:val="24"/>
                <w:szCs w:val="24"/>
              </w:rPr>
            </w:pPr>
            <w:r>
              <w:rPr>
                <w:sz w:val="24"/>
                <w:szCs w:val="24"/>
              </w:rPr>
              <w:t xml:space="preserve">41 790</w:t>
            </w:r>
            <w:r>
              <w:rPr>
                <w:sz w:val="24"/>
                <w:szCs w:val="24"/>
              </w:rPr>
            </w:r>
            <w:r>
              <w:rPr>
                <w:sz w:val="24"/>
                <w:szCs w:val="24"/>
              </w:rPr>
            </w:r>
          </w:p>
        </w:tc>
        <w:tc>
          <w:tcPr>
            <w:tcBorders>
              <w:top w:val="none" w:color="FFFFFF" w:sz="255" w:space="0"/>
              <w:left w:val="none" w:color="FFFFFF" w:sz="255" w:space="0"/>
              <w:bottom w:val="single" w:color="000000" w:sz="4" w:space="0"/>
              <w:right w:val="single" w:color="000000" w:sz="4" w:space="0"/>
            </w:tcBorders>
            <w:tcW w:w="1522" w:type="dxa"/>
            <w:vAlign w:val="bottom"/>
            <w:textDirection w:val="lrTb"/>
            <w:noWrap/>
          </w:tcPr>
          <w:p>
            <w:pPr>
              <w:pStyle w:val="934"/>
              <w:jc w:val="center"/>
              <w:rPr>
                <w:b/>
                <w:bCs/>
                <w:sz w:val="24"/>
                <w:szCs w:val="24"/>
              </w:rPr>
            </w:pPr>
            <w:r>
              <w:rPr>
                <w:b/>
                <w:bCs/>
                <w:sz w:val="24"/>
                <w:szCs w:val="24"/>
              </w:rPr>
              <w:t xml:space="preserve">105,7</w:t>
            </w:r>
            <w:r>
              <w:rPr>
                <w:b/>
                <w:bCs/>
                <w:sz w:val="24"/>
                <w:szCs w:val="24"/>
              </w:rPr>
            </w:r>
            <w:r>
              <w:rPr>
                <w:b/>
                <w:bCs/>
                <w:sz w:val="24"/>
                <w:szCs w:val="24"/>
              </w:rPr>
            </w:r>
          </w:p>
        </w:tc>
      </w:tr>
      <w:tr>
        <w:tblPrEx/>
        <w:trPr>
          <w:trHeight w:val="616"/>
        </w:trPr>
        <w:tc>
          <w:tcPr>
            <w:tcBorders>
              <w:top w:val="none" w:color="FFFFFF" w:sz="255" w:space="0"/>
              <w:left w:val="single" w:color="000000" w:sz="4" w:space="0"/>
              <w:bottom w:val="single" w:color="000000" w:sz="4" w:space="0"/>
              <w:right w:val="single" w:color="000000" w:sz="4" w:space="0"/>
            </w:tcBorders>
            <w:tcW w:w="756" w:type="dxa"/>
            <w:vAlign w:val="bottom"/>
            <w:textDirection w:val="lrTb"/>
            <w:noWrap/>
          </w:tcPr>
          <w:p>
            <w:pPr>
              <w:pStyle w:val="934"/>
              <w:rPr>
                <w:sz w:val="24"/>
                <w:szCs w:val="24"/>
              </w:rPr>
            </w:pPr>
            <w:r>
              <w:rPr>
                <w:sz w:val="24"/>
                <w:szCs w:val="24"/>
              </w:rPr>
              <w:t xml:space="preserve"> </w:t>
            </w:r>
            <w:r>
              <w:rPr>
                <w:sz w:val="24"/>
                <w:szCs w:val="24"/>
              </w:rPr>
            </w:r>
            <w:r>
              <w:rPr>
                <w:sz w:val="24"/>
                <w:szCs w:val="24"/>
              </w:rPr>
            </w:r>
          </w:p>
        </w:tc>
        <w:tc>
          <w:tcPr>
            <w:tcBorders>
              <w:top w:val="none" w:color="FFFFFF" w:sz="255" w:space="0"/>
              <w:left w:val="none" w:color="FFFFFF" w:sz="255" w:space="0"/>
              <w:bottom w:val="single" w:color="000000" w:sz="4" w:space="0"/>
              <w:right w:val="single" w:color="000000" w:sz="4" w:space="0"/>
            </w:tcBorders>
            <w:tcW w:w="4504" w:type="dxa"/>
            <w:vAlign w:val="bottom"/>
            <w:textDirection w:val="lrTb"/>
            <w:noWrap w:val="false"/>
          </w:tcPr>
          <w:p>
            <w:pPr>
              <w:pStyle w:val="934"/>
              <w:rPr>
                <w:sz w:val="24"/>
                <w:szCs w:val="24"/>
              </w:rPr>
            </w:pPr>
            <w:r>
              <w:rPr>
                <w:sz w:val="24"/>
                <w:szCs w:val="24"/>
              </w:rPr>
              <w:t xml:space="preserve">Платежи при пользовании природными ресурсами</w:t>
            </w:r>
            <w:r>
              <w:rPr>
                <w:sz w:val="24"/>
                <w:szCs w:val="24"/>
              </w:rPr>
            </w:r>
            <w:r>
              <w:rPr>
                <w:sz w:val="24"/>
                <w:szCs w:val="24"/>
              </w:rPr>
            </w:r>
          </w:p>
        </w:tc>
        <w:tc>
          <w:tcPr>
            <w:tcBorders>
              <w:top w:val="none" w:color="FFFFFF" w:sz="255" w:space="0"/>
              <w:left w:val="none" w:color="FFFFFF" w:sz="255" w:space="0"/>
              <w:bottom w:val="single" w:color="000000" w:sz="4" w:space="0"/>
              <w:right w:val="single" w:color="000000" w:sz="4" w:space="0"/>
            </w:tcBorders>
            <w:tcW w:w="1418" w:type="dxa"/>
            <w:vAlign w:val="bottom"/>
            <w:textDirection w:val="lrTb"/>
            <w:noWrap/>
          </w:tcPr>
          <w:p>
            <w:pPr>
              <w:pStyle w:val="934"/>
              <w:jc w:val="center"/>
              <w:rPr>
                <w:sz w:val="24"/>
                <w:szCs w:val="24"/>
              </w:rPr>
            </w:pPr>
            <w:r>
              <w:rPr>
                <w:sz w:val="24"/>
                <w:szCs w:val="24"/>
              </w:rPr>
              <w:t xml:space="preserve">7 424</w:t>
            </w:r>
            <w:r>
              <w:rPr>
                <w:sz w:val="24"/>
                <w:szCs w:val="24"/>
              </w:rPr>
            </w:r>
            <w:r>
              <w:rPr>
                <w:sz w:val="24"/>
                <w:szCs w:val="24"/>
              </w:rPr>
            </w:r>
          </w:p>
        </w:tc>
        <w:tc>
          <w:tcPr>
            <w:tcBorders>
              <w:top w:val="none" w:color="FFFFFF" w:sz="255" w:space="0"/>
              <w:left w:val="none" w:color="FFFFFF" w:sz="255" w:space="0"/>
              <w:bottom w:val="single" w:color="000000" w:sz="4" w:space="0"/>
              <w:right w:val="single" w:color="000000" w:sz="4" w:space="0"/>
            </w:tcBorders>
            <w:tcW w:w="1557" w:type="dxa"/>
            <w:vAlign w:val="bottom"/>
            <w:textDirection w:val="lrTb"/>
            <w:noWrap/>
          </w:tcPr>
          <w:p>
            <w:pPr>
              <w:pStyle w:val="934"/>
              <w:jc w:val="center"/>
              <w:rPr>
                <w:sz w:val="24"/>
                <w:szCs w:val="24"/>
              </w:rPr>
            </w:pPr>
            <w:r>
              <w:rPr>
                <w:sz w:val="24"/>
                <w:szCs w:val="24"/>
              </w:rPr>
              <w:t xml:space="preserve">7 435</w:t>
            </w:r>
            <w:r>
              <w:rPr>
                <w:sz w:val="24"/>
                <w:szCs w:val="24"/>
              </w:rPr>
            </w:r>
            <w:r>
              <w:rPr>
                <w:sz w:val="24"/>
                <w:szCs w:val="24"/>
              </w:rPr>
            </w:r>
          </w:p>
        </w:tc>
        <w:tc>
          <w:tcPr>
            <w:tcBorders>
              <w:top w:val="none" w:color="FFFFFF" w:sz="255" w:space="0"/>
              <w:left w:val="none" w:color="FFFFFF" w:sz="255" w:space="0"/>
              <w:bottom w:val="single" w:color="000000" w:sz="4" w:space="0"/>
              <w:right w:val="single" w:color="000000" w:sz="4" w:space="0"/>
            </w:tcBorders>
            <w:tcW w:w="1522" w:type="dxa"/>
            <w:vAlign w:val="bottom"/>
            <w:textDirection w:val="lrTb"/>
            <w:noWrap/>
          </w:tcPr>
          <w:p>
            <w:pPr>
              <w:pStyle w:val="934"/>
              <w:jc w:val="center"/>
              <w:rPr>
                <w:b/>
                <w:bCs/>
                <w:sz w:val="24"/>
                <w:szCs w:val="24"/>
              </w:rPr>
            </w:pPr>
            <w:r>
              <w:rPr>
                <w:b/>
                <w:bCs/>
                <w:sz w:val="24"/>
                <w:szCs w:val="24"/>
              </w:rPr>
              <w:t xml:space="preserve">100,1</w:t>
            </w:r>
            <w:r>
              <w:rPr>
                <w:b/>
                <w:bCs/>
                <w:sz w:val="24"/>
                <w:szCs w:val="24"/>
              </w:rPr>
            </w:r>
            <w:r>
              <w:rPr>
                <w:b/>
                <w:bCs/>
                <w:sz w:val="24"/>
                <w:szCs w:val="24"/>
              </w:rPr>
            </w:r>
          </w:p>
        </w:tc>
      </w:tr>
      <w:tr>
        <w:tblPrEx/>
        <w:trPr>
          <w:trHeight w:val="603"/>
        </w:trPr>
        <w:tc>
          <w:tcPr>
            <w:tcBorders>
              <w:top w:val="none" w:color="FFFFFF" w:sz="255" w:space="0"/>
              <w:left w:val="single" w:color="000000" w:sz="4" w:space="0"/>
              <w:bottom w:val="single" w:color="000000" w:sz="4" w:space="0"/>
              <w:right w:val="single" w:color="000000" w:sz="4" w:space="0"/>
            </w:tcBorders>
            <w:tcW w:w="756" w:type="dxa"/>
            <w:vAlign w:val="bottom"/>
            <w:textDirection w:val="lrTb"/>
            <w:noWrap/>
          </w:tcPr>
          <w:p>
            <w:pPr>
              <w:pStyle w:val="934"/>
              <w:rPr>
                <w:sz w:val="24"/>
                <w:szCs w:val="24"/>
              </w:rPr>
            </w:pPr>
            <w:r>
              <w:rPr>
                <w:sz w:val="24"/>
                <w:szCs w:val="24"/>
              </w:rPr>
              <w:t xml:space="preserve"> </w:t>
            </w:r>
            <w:r>
              <w:rPr>
                <w:sz w:val="24"/>
                <w:szCs w:val="24"/>
              </w:rPr>
            </w:r>
            <w:r>
              <w:rPr>
                <w:sz w:val="24"/>
                <w:szCs w:val="24"/>
              </w:rPr>
            </w:r>
          </w:p>
        </w:tc>
        <w:tc>
          <w:tcPr>
            <w:tcBorders>
              <w:top w:val="none" w:color="FFFFFF" w:sz="255" w:space="0"/>
              <w:left w:val="none" w:color="FFFFFF" w:sz="255" w:space="0"/>
              <w:bottom w:val="single" w:color="000000" w:sz="4" w:space="0"/>
              <w:right w:val="single" w:color="000000" w:sz="4" w:space="0"/>
            </w:tcBorders>
            <w:tcW w:w="4504" w:type="dxa"/>
            <w:vAlign w:val="bottom"/>
            <w:textDirection w:val="lrTb"/>
            <w:noWrap w:val="false"/>
          </w:tcPr>
          <w:p>
            <w:pPr>
              <w:pStyle w:val="934"/>
              <w:rPr>
                <w:sz w:val="24"/>
                <w:szCs w:val="24"/>
              </w:rPr>
            </w:pPr>
            <w:r>
              <w:rPr>
                <w:sz w:val="24"/>
                <w:szCs w:val="24"/>
              </w:rPr>
              <w:t xml:space="preserve">Доходы от оказания платных услуг (работ) и компенсации затрат государства</w:t>
            </w:r>
            <w:r>
              <w:rPr>
                <w:sz w:val="24"/>
                <w:szCs w:val="24"/>
              </w:rPr>
            </w:r>
            <w:r>
              <w:rPr>
                <w:sz w:val="24"/>
                <w:szCs w:val="24"/>
              </w:rPr>
            </w:r>
          </w:p>
        </w:tc>
        <w:tc>
          <w:tcPr>
            <w:tcBorders>
              <w:top w:val="none" w:color="FFFFFF" w:sz="255" w:space="0"/>
              <w:left w:val="none" w:color="FFFFFF" w:sz="255" w:space="0"/>
              <w:bottom w:val="single" w:color="000000" w:sz="4" w:space="0"/>
              <w:right w:val="single" w:color="000000" w:sz="4" w:space="0"/>
            </w:tcBorders>
            <w:tcW w:w="1418" w:type="dxa"/>
            <w:vAlign w:val="bottom"/>
            <w:textDirection w:val="lrTb"/>
            <w:noWrap/>
          </w:tcPr>
          <w:p>
            <w:pPr>
              <w:pStyle w:val="934"/>
              <w:jc w:val="center"/>
              <w:rPr>
                <w:sz w:val="24"/>
                <w:szCs w:val="24"/>
              </w:rPr>
            </w:pPr>
            <w:r>
              <w:rPr>
                <w:sz w:val="24"/>
                <w:szCs w:val="24"/>
              </w:rPr>
              <w:t xml:space="preserve">7 536</w:t>
            </w:r>
            <w:r>
              <w:rPr>
                <w:sz w:val="24"/>
                <w:szCs w:val="24"/>
              </w:rPr>
            </w:r>
            <w:r>
              <w:rPr>
                <w:sz w:val="24"/>
                <w:szCs w:val="24"/>
              </w:rPr>
            </w:r>
          </w:p>
        </w:tc>
        <w:tc>
          <w:tcPr>
            <w:tcBorders>
              <w:top w:val="none" w:color="FFFFFF" w:sz="255" w:space="0"/>
              <w:left w:val="none" w:color="FFFFFF" w:sz="255" w:space="0"/>
              <w:bottom w:val="single" w:color="000000" w:sz="4" w:space="0"/>
              <w:right w:val="single" w:color="000000" w:sz="4" w:space="0"/>
            </w:tcBorders>
            <w:tcW w:w="1557" w:type="dxa"/>
            <w:vAlign w:val="bottom"/>
            <w:textDirection w:val="lrTb"/>
            <w:noWrap/>
          </w:tcPr>
          <w:p>
            <w:pPr>
              <w:pStyle w:val="934"/>
              <w:jc w:val="center"/>
              <w:rPr>
                <w:sz w:val="24"/>
                <w:szCs w:val="24"/>
              </w:rPr>
            </w:pPr>
            <w:r>
              <w:rPr>
                <w:sz w:val="24"/>
                <w:szCs w:val="24"/>
              </w:rPr>
              <w:t xml:space="preserve">7 538</w:t>
            </w:r>
            <w:r>
              <w:rPr>
                <w:sz w:val="24"/>
                <w:szCs w:val="24"/>
              </w:rPr>
            </w:r>
            <w:r>
              <w:rPr>
                <w:sz w:val="24"/>
                <w:szCs w:val="24"/>
              </w:rPr>
            </w:r>
          </w:p>
        </w:tc>
        <w:tc>
          <w:tcPr>
            <w:tcBorders>
              <w:top w:val="none" w:color="FFFFFF" w:sz="255" w:space="0"/>
              <w:left w:val="none" w:color="FFFFFF" w:sz="255" w:space="0"/>
              <w:bottom w:val="single" w:color="000000" w:sz="4" w:space="0"/>
              <w:right w:val="single" w:color="000000" w:sz="4" w:space="0"/>
            </w:tcBorders>
            <w:tcW w:w="1522" w:type="dxa"/>
            <w:vAlign w:val="bottom"/>
            <w:textDirection w:val="lrTb"/>
            <w:noWrap/>
          </w:tcPr>
          <w:p>
            <w:pPr>
              <w:pStyle w:val="934"/>
              <w:jc w:val="center"/>
              <w:rPr>
                <w:b/>
                <w:bCs/>
                <w:sz w:val="24"/>
                <w:szCs w:val="24"/>
              </w:rPr>
            </w:pPr>
            <w:r>
              <w:rPr>
                <w:b/>
                <w:bCs/>
                <w:sz w:val="24"/>
                <w:szCs w:val="24"/>
              </w:rPr>
              <w:t xml:space="preserve">100,0</w:t>
            </w:r>
            <w:r>
              <w:rPr>
                <w:b/>
                <w:bCs/>
                <w:sz w:val="24"/>
                <w:szCs w:val="24"/>
              </w:rPr>
            </w:r>
            <w:r>
              <w:rPr>
                <w:b/>
                <w:bCs/>
                <w:sz w:val="24"/>
                <w:szCs w:val="24"/>
              </w:rPr>
            </w:r>
          </w:p>
        </w:tc>
      </w:tr>
      <w:tr>
        <w:tblPrEx/>
        <w:trPr>
          <w:trHeight w:val="603"/>
        </w:trPr>
        <w:tc>
          <w:tcPr>
            <w:tcBorders>
              <w:top w:val="none" w:color="FFFFFF" w:sz="255" w:space="0"/>
              <w:left w:val="single" w:color="000000" w:sz="4" w:space="0"/>
              <w:bottom w:val="single" w:color="000000" w:sz="4" w:space="0"/>
              <w:right w:val="single" w:color="000000" w:sz="4" w:space="0"/>
            </w:tcBorders>
            <w:tcW w:w="756" w:type="dxa"/>
            <w:vAlign w:val="bottom"/>
            <w:textDirection w:val="lrTb"/>
            <w:noWrap/>
          </w:tcPr>
          <w:p>
            <w:pPr>
              <w:pStyle w:val="934"/>
              <w:rPr>
                <w:sz w:val="24"/>
                <w:szCs w:val="24"/>
              </w:rPr>
            </w:pPr>
            <w:r>
              <w:rPr>
                <w:sz w:val="24"/>
                <w:szCs w:val="24"/>
              </w:rPr>
              <w:t xml:space="preserve"> </w:t>
            </w:r>
            <w:r>
              <w:rPr>
                <w:sz w:val="24"/>
                <w:szCs w:val="24"/>
              </w:rPr>
            </w:r>
            <w:r>
              <w:rPr>
                <w:sz w:val="24"/>
                <w:szCs w:val="24"/>
              </w:rPr>
            </w:r>
          </w:p>
        </w:tc>
        <w:tc>
          <w:tcPr>
            <w:tcBorders>
              <w:top w:val="none" w:color="FFFFFF" w:sz="255" w:space="0"/>
              <w:left w:val="none" w:color="FFFFFF" w:sz="255" w:space="0"/>
              <w:bottom w:val="single" w:color="000000" w:sz="4" w:space="0"/>
              <w:right w:val="single" w:color="000000" w:sz="4" w:space="0"/>
            </w:tcBorders>
            <w:tcW w:w="4504" w:type="dxa"/>
            <w:vAlign w:val="bottom"/>
            <w:textDirection w:val="lrTb"/>
            <w:noWrap w:val="false"/>
          </w:tcPr>
          <w:p>
            <w:pPr>
              <w:pStyle w:val="934"/>
              <w:rPr>
                <w:sz w:val="24"/>
                <w:szCs w:val="24"/>
              </w:rPr>
            </w:pPr>
            <w:r>
              <w:rPr>
                <w:sz w:val="24"/>
                <w:szCs w:val="24"/>
              </w:rPr>
              <w:t xml:space="preserve">Доходы от продажи материальных и нематериальных активов</w:t>
            </w:r>
            <w:r>
              <w:rPr>
                <w:sz w:val="24"/>
                <w:szCs w:val="24"/>
              </w:rPr>
            </w:r>
            <w:r>
              <w:rPr>
                <w:sz w:val="24"/>
                <w:szCs w:val="24"/>
              </w:rPr>
            </w:r>
          </w:p>
        </w:tc>
        <w:tc>
          <w:tcPr>
            <w:tcBorders>
              <w:top w:val="none" w:color="FFFFFF" w:sz="255" w:space="0"/>
              <w:left w:val="none" w:color="FFFFFF" w:sz="255" w:space="0"/>
              <w:bottom w:val="single" w:color="000000" w:sz="4" w:space="0"/>
              <w:right w:val="single" w:color="000000" w:sz="4" w:space="0"/>
            </w:tcBorders>
            <w:tcW w:w="1418" w:type="dxa"/>
            <w:vAlign w:val="bottom"/>
            <w:textDirection w:val="lrTb"/>
            <w:noWrap/>
          </w:tcPr>
          <w:p>
            <w:pPr>
              <w:pStyle w:val="934"/>
              <w:jc w:val="center"/>
              <w:rPr>
                <w:sz w:val="24"/>
                <w:szCs w:val="24"/>
              </w:rPr>
            </w:pPr>
            <w:r>
              <w:rPr>
                <w:sz w:val="24"/>
                <w:szCs w:val="24"/>
              </w:rPr>
              <w:t xml:space="preserve">74 963</w:t>
            </w:r>
            <w:r>
              <w:rPr>
                <w:sz w:val="24"/>
                <w:szCs w:val="24"/>
              </w:rPr>
            </w:r>
            <w:r>
              <w:rPr>
                <w:sz w:val="24"/>
                <w:szCs w:val="24"/>
              </w:rPr>
            </w:r>
          </w:p>
        </w:tc>
        <w:tc>
          <w:tcPr>
            <w:tcBorders>
              <w:top w:val="none" w:color="FFFFFF" w:sz="255" w:space="0"/>
              <w:left w:val="none" w:color="FFFFFF" w:sz="255" w:space="0"/>
              <w:bottom w:val="single" w:color="000000" w:sz="4" w:space="0"/>
              <w:right w:val="single" w:color="000000" w:sz="4" w:space="0"/>
            </w:tcBorders>
            <w:tcW w:w="1557" w:type="dxa"/>
            <w:vAlign w:val="bottom"/>
            <w:textDirection w:val="lrTb"/>
            <w:noWrap/>
          </w:tcPr>
          <w:p>
            <w:pPr>
              <w:pStyle w:val="934"/>
              <w:jc w:val="center"/>
              <w:rPr>
                <w:sz w:val="24"/>
                <w:szCs w:val="24"/>
              </w:rPr>
            </w:pPr>
            <w:r>
              <w:rPr>
                <w:sz w:val="24"/>
                <w:szCs w:val="24"/>
              </w:rPr>
              <w:t xml:space="preserve">78 484</w:t>
            </w:r>
            <w:r>
              <w:rPr>
                <w:sz w:val="24"/>
                <w:szCs w:val="24"/>
              </w:rPr>
            </w:r>
            <w:r>
              <w:rPr>
                <w:sz w:val="24"/>
                <w:szCs w:val="24"/>
              </w:rPr>
            </w:r>
          </w:p>
        </w:tc>
        <w:tc>
          <w:tcPr>
            <w:tcBorders>
              <w:top w:val="none" w:color="FFFFFF" w:sz="255" w:space="0"/>
              <w:left w:val="none" w:color="FFFFFF" w:sz="255" w:space="0"/>
              <w:bottom w:val="single" w:color="000000" w:sz="4" w:space="0"/>
              <w:right w:val="single" w:color="000000" w:sz="4" w:space="0"/>
            </w:tcBorders>
            <w:tcW w:w="1522" w:type="dxa"/>
            <w:vAlign w:val="bottom"/>
            <w:textDirection w:val="lrTb"/>
            <w:noWrap/>
          </w:tcPr>
          <w:p>
            <w:pPr>
              <w:pStyle w:val="934"/>
              <w:jc w:val="center"/>
              <w:rPr>
                <w:b/>
                <w:bCs/>
                <w:sz w:val="24"/>
                <w:szCs w:val="24"/>
              </w:rPr>
            </w:pPr>
            <w:r>
              <w:rPr>
                <w:b/>
                <w:bCs/>
                <w:sz w:val="24"/>
                <w:szCs w:val="24"/>
              </w:rPr>
              <w:t xml:space="preserve">104,7</w:t>
            </w:r>
            <w:r>
              <w:rPr>
                <w:b/>
                <w:bCs/>
                <w:sz w:val="24"/>
                <w:szCs w:val="24"/>
              </w:rPr>
            </w:r>
            <w:r>
              <w:rPr>
                <w:b/>
                <w:bCs/>
                <w:sz w:val="24"/>
                <w:szCs w:val="24"/>
              </w:rPr>
            </w:r>
          </w:p>
        </w:tc>
      </w:tr>
      <w:tr>
        <w:tblPrEx/>
        <w:trPr>
          <w:trHeight w:val="301"/>
        </w:trPr>
        <w:tc>
          <w:tcPr>
            <w:tcBorders>
              <w:top w:val="none" w:color="FFFFFF" w:sz="255" w:space="0"/>
              <w:left w:val="single" w:color="000000" w:sz="4" w:space="0"/>
              <w:bottom w:val="single" w:color="000000" w:sz="4" w:space="0"/>
              <w:right w:val="single" w:color="000000" w:sz="4" w:space="0"/>
            </w:tcBorders>
            <w:tcW w:w="756" w:type="dxa"/>
            <w:vAlign w:val="bottom"/>
            <w:textDirection w:val="lrTb"/>
            <w:noWrap/>
          </w:tcPr>
          <w:p>
            <w:pPr>
              <w:pStyle w:val="934"/>
              <w:rPr>
                <w:sz w:val="24"/>
                <w:szCs w:val="24"/>
              </w:rPr>
            </w:pPr>
            <w:r>
              <w:rPr>
                <w:sz w:val="24"/>
                <w:szCs w:val="24"/>
              </w:rPr>
              <w:t xml:space="preserve"> </w:t>
            </w:r>
            <w:r>
              <w:rPr>
                <w:sz w:val="24"/>
                <w:szCs w:val="24"/>
              </w:rPr>
            </w:r>
            <w:r>
              <w:rPr>
                <w:sz w:val="24"/>
                <w:szCs w:val="24"/>
              </w:rPr>
            </w:r>
          </w:p>
        </w:tc>
        <w:tc>
          <w:tcPr>
            <w:tcBorders>
              <w:top w:val="none" w:color="FFFFFF" w:sz="255" w:space="0"/>
              <w:left w:val="none" w:color="FFFFFF" w:sz="255" w:space="0"/>
              <w:bottom w:val="single" w:color="000000" w:sz="4" w:space="0"/>
              <w:right w:val="single" w:color="000000" w:sz="4" w:space="0"/>
            </w:tcBorders>
            <w:tcW w:w="4504" w:type="dxa"/>
            <w:vAlign w:val="bottom"/>
            <w:textDirection w:val="lrTb"/>
            <w:noWrap w:val="false"/>
          </w:tcPr>
          <w:p>
            <w:pPr>
              <w:pStyle w:val="934"/>
              <w:rPr>
                <w:sz w:val="24"/>
                <w:szCs w:val="24"/>
              </w:rPr>
            </w:pPr>
            <w:r>
              <w:rPr>
                <w:sz w:val="24"/>
                <w:szCs w:val="24"/>
              </w:rPr>
              <w:t xml:space="preserve">Штрафы, санкции, возмещение ущерба</w:t>
            </w:r>
            <w:r>
              <w:rPr>
                <w:sz w:val="24"/>
                <w:szCs w:val="24"/>
              </w:rPr>
            </w:r>
            <w:r>
              <w:rPr>
                <w:sz w:val="24"/>
                <w:szCs w:val="24"/>
              </w:rPr>
            </w:r>
          </w:p>
        </w:tc>
        <w:tc>
          <w:tcPr>
            <w:tcBorders>
              <w:top w:val="none" w:color="FFFFFF" w:sz="255" w:space="0"/>
              <w:left w:val="none" w:color="FFFFFF" w:sz="255" w:space="0"/>
              <w:bottom w:val="single" w:color="000000" w:sz="4" w:space="0"/>
              <w:right w:val="single" w:color="000000" w:sz="4" w:space="0"/>
            </w:tcBorders>
            <w:tcW w:w="1418" w:type="dxa"/>
            <w:vAlign w:val="bottom"/>
            <w:textDirection w:val="lrTb"/>
            <w:noWrap/>
          </w:tcPr>
          <w:p>
            <w:pPr>
              <w:pStyle w:val="934"/>
              <w:jc w:val="center"/>
              <w:rPr>
                <w:sz w:val="24"/>
                <w:szCs w:val="24"/>
              </w:rPr>
            </w:pPr>
            <w:r>
              <w:rPr>
                <w:sz w:val="24"/>
                <w:szCs w:val="24"/>
              </w:rPr>
              <w:t xml:space="preserve">2 494</w:t>
            </w:r>
            <w:r>
              <w:rPr>
                <w:sz w:val="24"/>
                <w:szCs w:val="24"/>
              </w:rPr>
            </w:r>
            <w:r>
              <w:rPr>
                <w:sz w:val="24"/>
                <w:szCs w:val="24"/>
              </w:rPr>
            </w:r>
          </w:p>
        </w:tc>
        <w:tc>
          <w:tcPr>
            <w:tcBorders>
              <w:top w:val="none" w:color="FFFFFF" w:sz="255" w:space="0"/>
              <w:left w:val="none" w:color="FFFFFF" w:sz="255" w:space="0"/>
              <w:bottom w:val="single" w:color="000000" w:sz="4" w:space="0"/>
              <w:right w:val="single" w:color="000000" w:sz="4" w:space="0"/>
            </w:tcBorders>
            <w:tcW w:w="1557" w:type="dxa"/>
            <w:vAlign w:val="bottom"/>
            <w:textDirection w:val="lrTb"/>
            <w:noWrap/>
          </w:tcPr>
          <w:p>
            <w:pPr>
              <w:pStyle w:val="934"/>
              <w:jc w:val="center"/>
              <w:rPr>
                <w:sz w:val="24"/>
                <w:szCs w:val="24"/>
              </w:rPr>
            </w:pPr>
            <w:r>
              <w:rPr>
                <w:sz w:val="24"/>
                <w:szCs w:val="24"/>
              </w:rPr>
              <w:t xml:space="preserve">3 812</w:t>
            </w:r>
            <w:r>
              <w:rPr>
                <w:sz w:val="24"/>
                <w:szCs w:val="24"/>
              </w:rPr>
            </w:r>
            <w:r>
              <w:rPr>
                <w:sz w:val="24"/>
                <w:szCs w:val="24"/>
              </w:rPr>
            </w:r>
          </w:p>
        </w:tc>
        <w:tc>
          <w:tcPr>
            <w:tcBorders>
              <w:top w:val="none" w:color="FFFFFF" w:sz="255" w:space="0"/>
              <w:left w:val="none" w:color="FFFFFF" w:sz="255" w:space="0"/>
              <w:bottom w:val="single" w:color="000000" w:sz="4" w:space="0"/>
              <w:right w:val="single" w:color="000000" w:sz="4" w:space="0"/>
            </w:tcBorders>
            <w:tcW w:w="1522" w:type="dxa"/>
            <w:vAlign w:val="bottom"/>
            <w:textDirection w:val="lrTb"/>
            <w:noWrap/>
          </w:tcPr>
          <w:p>
            <w:pPr>
              <w:pStyle w:val="934"/>
              <w:jc w:val="center"/>
              <w:rPr>
                <w:b/>
                <w:bCs/>
                <w:sz w:val="24"/>
                <w:szCs w:val="24"/>
              </w:rPr>
            </w:pPr>
            <w:r>
              <w:rPr>
                <w:b/>
                <w:bCs/>
                <w:sz w:val="24"/>
                <w:szCs w:val="24"/>
              </w:rPr>
              <w:t xml:space="preserve">152,8</w:t>
            </w:r>
            <w:r>
              <w:rPr>
                <w:b/>
                <w:bCs/>
                <w:sz w:val="24"/>
                <w:szCs w:val="24"/>
              </w:rPr>
            </w:r>
            <w:r>
              <w:rPr>
                <w:b/>
                <w:bCs/>
                <w:sz w:val="24"/>
                <w:szCs w:val="24"/>
              </w:rPr>
            </w:r>
          </w:p>
        </w:tc>
      </w:tr>
      <w:tr>
        <w:tblPrEx/>
        <w:trPr>
          <w:trHeight w:val="301"/>
        </w:trPr>
        <w:tc>
          <w:tcPr>
            <w:tcBorders>
              <w:top w:val="none" w:color="FFFFFF" w:sz="255" w:space="0"/>
              <w:left w:val="single" w:color="000000" w:sz="4" w:space="0"/>
              <w:bottom w:val="single" w:color="000000" w:sz="4" w:space="0"/>
              <w:right w:val="single" w:color="000000" w:sz="4" w:space="0"/>
            </w:tcBorders>
            <w:tcW w:w="756" w:type="dxa"/>
            <w:vAlign w:val="bottom"/>
            <w:textDirection w:val="lrTb"/>
            <w:noWrap/>
          </w:tcPr>
          <w:p>
            <w:pPr>
              <w:pStyle w:val="934"/>
              <w:rPr>
                <w:sz w:val="24"/>
                <w:szCs w:val="24"/>
              </w:rPr>
            </w:pPr>
            <w:r>
              <w:rPr>
                <w:sz w:val="24"/>
                <w:szCs w:val="24"/>
              </w:rPr>
              <w:t xml:space="preserve"> </w:t>
            </w:r>
            <w:r>
              <w:rPr>
                <w:sz w:val="24"/>
                <w:szCs w:val="24"/>
              </w:rPr>
            </w:r>
            <w:r>
              <w:rPr>
                <w:sz w:val="24"/>
                <w:szCs w:val="24"/>
              </w:rPr>
            </w:r>
          </w:p>
        </w:tc>
        <w:tc>
          <w:tcPr>
            <w:tcBorders>
              <w:top w:val="none" w:color="FFFFFF" w:sz="255" w:space="0"/>
              <w:left w:val="none" w:color="FFFFFF" w:sz="255" w:space="0"/>
              <w:bottom w:val="single" w:color="000000" w:sz="4" w:space="0"/>
              <w:right w:val="single" w:color="000000" w:sz="4" w:space="0"/>
            </w:tcBorders>
            <w:tcW w:w="4504" w:type="dxa"/>
            <w:vAlign w:val="bottom"/>
            <w:textDirection w:val="lrTb"/>
            <w:noWrap w:val="false"/>
          </w:tcPr>
          <w:p>
            <w:pPr>
              <w:pStyle w:val="934"/>
              <w:rPr>
                <w:sz w:val="24"/>
                <w:szCs w:val="24"/>
              </w:rPr>
            </w:pPr>
            <w:r>
              <w:rPr>
                <w:sz w:val="24"/>
                <w:szCs w:val="24"/>
              </w:rPr>
              <w:t xml:space="preserve">Прочие неналоговые доходы</w:t>
            </w:r>
            <w:r>
              <w:rPr>
                <w:sz w:val="24"/>
                <w:szCs w:val="24"/>
              </w:rPr>
            </w:r>
            <w:r>
              <w:rPr>
                <w:sz w:val="24"/>
                <w:szCs w:val="24"/>
              </w:rPr>
            </w:r>
          </w:p>
        </w:tc>
        <w:tc>
          <w:tcPr>
            <w:tcBorders>
              <w:top w:val="none" w:color="FFFFFF" w:sz="255" w:space="0"/>
              <w:left w:val="none" w:color="FFFFFF" w:sz="255" w:space="0"/>
              <w:bottom w:val="single" w:color="000000" w:sz="4" w:space="0"/>
              <w:right w:val="single" w:color="000000" w:sz="4" w:space="0"/>
            </w:tcBorders>
            <w:tcW w:w="1418" w:type="dxa"/>
            <w:vAlign w:val="bottom"/>
            <w:textDirection w:val="lrTb"/>
            <w:noWrap/>
          </w:tcPr>
          <w:p>
            <w:pPr>
              <w:pStyle w:val="934"/>
              <w:jc w:val="center"/>
              <w:rPr>
                <w:sz w:val="24"/>
                <w:szCs w:val="24"/>
                <w:lang w:val="en-US"/>
              </w:rPr>
            </w:pPr>
            <w:r>
              <w:rPr>
                <w:sz w:val="24"/>
                <w:szCs w:val="24"/>
              </w:rPr>
              <w:t xml:space="preserve">98</w:t>
            </w:r>
            <w:r>
              <w:rPr>
                <w:sz w:val="24"/>
                <w:szCs w:val="24"/>
                <w:lang w:val="en-US"/>
              </w:rPr>
              <w:t xml:space="preserve">5</w:t>
            </w:r>
            <w:r>
              <w:rPr>
                <w:sz w:val="24"/>
                <w:szCs w:val="24"/>
                <w:lang w:val="en-US"/>
              </w:rPr>
            </w:r>
            <w:r>
              <w:rPr>
                <w:sz w:val="24"/>
                <w:szCs w:val="24"/>
                <w:lang w:val="en-US"/>
              </w:rPr>
            </w:r>
          </w:p>
        </w:tc>
        <w:tc>
          <w:tcPr>
            <w:tcBorders>
              <w:top w:val="none" w:color="FFFFFF" w:sz="255" w:space="0"/>
              <w:left w:val="none" w:color="FFFFFF" w:sz="255" w:space="0"/>
              <w:bottom w:val="single" w:color="000000" w:sz="4" w:space="0"/>
              <w:right w:val="single" w:color="000000" w:sz="4" w:space="0"/>
            </w:tcBorders>
            <w:tcW w:w="1557" w:type="dxa"/>
            <w:vAlign w:val="bottom"/>
            <w:textDirection w:val="lrTb"/>
            <w:noWrap/>
          </w:tcPr>
          <w:p>
            <w:pPr>
              <w:pStyle w:val="934"/>
              <w:jc w:val="center"/>
              <w:rPr>
                <w:sz w:val="24"/>
                <w:szCs w:val="24"/>
              </w:rPr>
            </w:pPr>
            <w:r>
              <w:rPr>
                <w:sz w:val="24"/>
                <w:szCs w:val="24"/>
              </w:rPr>
              <w:t xml:space="preserve">961</w:t>
            </w:r>
            <w:r>
              <w:rPr>
                <w:sz w:val="24"/>
                <w:szCs w:val="24"/>
              </w:rPr>
            </w:r>
            <w:r>
              <w:rPr>
                <w:sz w:val="24"/>
                <w:szCs w:val="24"/>
              </w:rPr>
            </w:r>
          </w:p>
        </w:tc>
        <w:tc>
          <w:tcPr>
            <w:tcBorders>
              <w:top w:val="none" w:color="FFFFFF" w:sz="255" w:space="0"/>
              <w:left w:val="none" w:color="FFFFFF" w:sz="255" w:space="0"/>
              <w:bottom w:val="single" w:color="000000" w:sz="4" w:space="0"/>
              <w:right w:val="single" w:color="000000" w:sz="4" w:space="0"/>
            </w:tcBorders>
            <w:tcW w:w="1522" w:type="dxa"/>
            <w:vAlign w:val="bottom"/>
            <w:textDirection w:val="lrTb"/>
            <w:noWrap/>
          </w:tcPr>
          <w:p>
            <w:pPr>
              <w:pStyle w:val="934"/>
              <w:jc w:val="center"/>
              <w:rPr>
                <w:b/>
                <w:bCs/>
                <w:sz w:val="24"/>
                <w:szCs w:val="24"/>
              </w:rPr>
            </w:pPr>
            <w:r>
              <w:rPr>
                <w:b/>
                <w:bCs/>
                <w:sz w:val="24"/>
                <w:szCs w:val="24"/>
              </w:rPr>
              <w:t xml:space="preserve">97,</w:t>
            </w:r>
            <w:r>
              <w:rPr>
                <w:b/>
                <w:bCs/>
                <w:sz w:val="24"/>
                <w:szCs w:val="24"/>
              </w:rPr>
              <w:t xml:space="preserve">6</w:t>
            </w:r>
            <w:r>
              <w:rPr>
                <w:b/>
                <w:bCs/>
                <w:sz w:val="24"/>
                <w:szCs w:val="24"/>
              </w:rPr>
            </w:r>
            <w:r>
              <w:rPr>
                <w:b/>
                <w:bCs/>
                <w:sz w:val="24"/>
                <w:szCs w:val="24"/>
              </w:rPr>
            </w:r>
          </w:p>
        </w:tc>
      </w:tr>
      <w:tr>
        <w:tblPrEx/>
        <w:trPr>
          <w:trHeight w:val="301"/>
        </w:trPr>
        <w:tc>
          <w:tcPr>
            <w:shd w:val="clear" w:color="000000" w:fill="d8e4bc"/>
            <w:tcBorders>
              <w:top w:val="none" w:color="FFFFFF" w:sz="255" w:space="0"/>
              <w:left w:val="single" w:color="000000" w:sz="4" w:space="0"/>
              <w:bottom w:val="single" w:color="000000" w:sz="4" w:space="0"/>
              <w:right w:val="single" w:color="000000" w:sz="4" w:space="0"/>
            </w:tcBorders>
            <w:tcW w:w="756" w:type="dxa"/>
            <w:vAlign w:val="bottom"/>
            <w:textDirection w:val="lrTb"/>
            <w:noWrap/>
          </w:tcPr>
          <w:p>
            <w:pPr>
              <w:pStyle w:val="934"/>
              <w:rPr>
                <w:b/>
                <w:bCs/>
                <w:sz w:val="24"/>
                <w:szCs w:val="24"/>
              </w:rPr>
            </w:pPr>
            <w:r>
              <w:rPr>
                <w:b/>
                <w:bCs/>
                <w:sz w:val="24"/>
                <w:szCs w:val="24"/>
              </w:rPr>
              <w:t xml:space="preserve">1.2.</w:t>
            </w:r>
            <w:r>
              <w:rPr>
                <w:b/>
                <w:bCs/>
                <w:sz w:val="24"/>
                <w:szCs w:val="24"/>
              </w:rPr>
            </w:r>
            <w:r>
              <w:rPr>
                <w:b/>
                <w:bCs/>
                <w:sz w:val="24"/>
                <w:szCs w:val="24"/>
              </w:rPr>
            </w:r>
          </w:p>
        </w:tc>
        <w:tc>
          <w:tcPr>
            <w:shd w:val="clear" w:color="000000" w:fill="d8e4bc"/>
            <w:tcBorders>
              <w:top w:val="none" w:color="FFFFFF" w:sz="255" w:space="0"/>
              <w:left w:val="none" w:color="FFFFFF" w:sz="255" w:space="0"/>
              <w:bottom w:val="single" w:color="000000" w:sz="4" w:space="0"/>
              <w:right w:val="single" w:color="000000" w:sz="4" w:space="0"/>
            </w:tcBorders>
            <w:tcW w:w="4504" w:type="dxa"/>
            <w:vAlign w:val="bottom"/>
            <w:textDirection w:val="lrTb"/>
            <w:noWrap w:val="false"/>
          </w:tcPr>
          <w:p>
            <w:pPr>
              <w:pStyle w:val="934"/>
              <w:rPr>
                <w:b/>
                <w:bCs/>
                <w:sz w:val="24"/>
                <w:szCs w:val="24"/>
              </w:rPr>
            </w:pPr>
            <w:r>
              <w:rPr>
                <w:b/>
                <w:bCs/>
                <w:sz w:val="24"/>
                <w:szCs w:val="24"/>
              </w:rPr>
              <w:t xml:space="preserve">Безвозмездные поступления</w:t>
            </w:r>
            <w:r>
              <w:rPr>
                <w:b/>
                <w:bCs/>
                <w:sz w:val="24"/>
                <w:szCs w:val="24"/>
              </w:rPr>
            </w:r>
            <w:r>
              <w:rPr>
                <w:b/>
                <w:bCs/>
                <w:sz w:val="24"/>
                <w:szCs w:val="24"/>
              </w:rPr>
            </w:r>
          </w:p>
        </w:tc>
        <w:tc>
          <w:tcPr>
            <w:shd w:val="clear" w:color="000000" w:fill="d8e4bc"/>
            <w:tcBorders>
              <w:top w:val="none" w:color="FFFFFF" w:sz="255" w:space="0"/>
              <w:left w:val="none" w:color="FFFFFF" w:sz="255" w:space="0"/>
              <w:bottom w:val="single" w:color="000000" w:sz="4" w:space="0"/>
              <w:right w:val="single" w:color="000000" w:sz="4" w:space="0"/>
            </w:tcBorders>
            <w:tcW w:w="1418" w:type="dxa"/>
            <w:vAlign w:val="bottom"/>
            <w:textDirection w:val="lrTb"/>
            <w:noWrap/>
          </w:tcPr>
          <w:p>
            <w:pPr>
              <w:pStyle w:val="934"/>
              <w:jc w:val="center"/>
              <w:rPr>
                <w:b/>
                <w:bCs/>
                <w:sz w:val="24"/>
                <w:szCs w:val="24"/>
              </w:rPr>
            </w:pPr>
            <w:r>
              <w:rPr>
                <w:b/>
                <w:bCs/>
                <w:sz w:val="24"/>
                <w:szCs w:val="24"/>
              </w:rPr>
              <w:t xml:space="preserve">5 064 909</w:t>
            </w:r>
            <w:r>
              <w:rPr>
                <w:b/>
                <w:bCs/>
                <w:sz w:val="24"/>
                <w:szCs w:val="24"/>
              </w:rPr>
            </w:r>
            <w:r>
              <w:rPr>
                <w:b/>
                <w:bCs/>
                <w:sz w:val="24"/>
                <w:szCs w:val="24"/>
              </w:rPr>
            </w:r>
          </w:p>
        </w:tc>
        <w:tc>
          <w:tcPr>
            <w:shd w:val="clear" w:color="000000" w:fill="d8e4bc"/>
            <w:tcBorders>
              <w:top w:val="none" w:color="FFFFFF" w:sz="255" w:space="0"/>
              <w:left w:val="none" w:color="FFFFFF" w:sz="255" w:space="0"/>
              <w:bottom w:val="single" w:color="000000" w:sz="4" w:space="0"/>
              <w:right w:val="single" w:color="000000" w:sz="4" w:space="0"/>
            </w:tcBorders>
            <w:tcW w:w="1557" w:type="dxa"/>
            <w:vAlign w:val="bottom"/>
            <w:textDirection w:val="lrTb"/>
            <w:noWrap/>
          </w:tcPr>
          <w:p>
            <w:pPr>
              <w:pStyle w:val="934"/>
              <w:jc w:val="center"/>
              <w:rPr>
                <w:b/>
                <w:bCs/>
                <w:sz w:val="24"/>
                <w:szCs w:val="24"/>
              </w:rPr>
            </w:pPr>
            <w:r>
              <w:rPr>
                <w:b/>
                <w:bCs/>
                <w:sz w:val="24"/>
                <w:szCs w:val="24"/>
              </w:rPr>
              <w:t xml:space="preserve">5 046 679</w:t>
            </w:r>
            <w:r>
              <w:rPr>
                <w:b/>
                <w:bCs/>
                <w:sz w:val="24"/>
                <w:szCs w:val="24"/>
              </w:rPr>
            </w:r>
            <w:r>
              <w:rPr>
                <w:b/>
                <w:bCs/>
                <w:sz w:val="24"/>
                <w:szCs w:val="24"/>
              </w:rPr>
            </w:r>
          </w:p>
        </w:tc>
        <w:tc>
          <w:tcPr>
            <w:shd w:val="clear" w:color="000000" w:fill="d8e4bc"/>
            <w:tcBorders>
              <w:top w:val="none" w:color="FFFFFF" w:sz="255" w:space="0"/>
              <w:left w:val="none" w:color="FFFFFF" w:sz="255" w:space="0"/>
              <w:bottom w:val="single" w:color="000000" w:sz="4" w:space="0"/>
              <w:right w:val="single" w:color="000000" w:sz="4" w:space="0"/>
            </w:tcBorders>
            <w:tcW w:w="1522" w:type="dxa"/>
            <w:vAlign w:val="bottom"/>
            <w:textDirection w:val="lrTb"/>
            <w:noWrap/>
          </w:tcPr>
          <w:p>
            <w:pPr>
              <w:pStyle w:val="934"/>
              <w:jc w:val="center"/>
              <w:rPr>
                <w:b/>
                <w:bCs/>
                <w:sz w:val="24"/>
                <w:szCs w:val="24"/>
              </w:rPr>
            </w:pPr>
            <w:r>
              <w:rPr>
                <w:b/>
                <w:bCs/>
                <w:sz w:val="24"/>
                <w:szCs w:val="24"/>
              </w:rPr>
              <w:t xml:space="preserve">99,6</w:t>
            </w:r>
            <w:r>
              <w:rPr>
                <w:b/>
                <w:bCs/>
                <w:sz w:val="24"/>
                <w:szCs w:val="24"/>
              </w:rPr>
            </w:r>
            <w:r>
              <w:rPr>
                <w:b/>
                <w:bCs/>
                <w:sz w:val="24"/>
                <w:szCs w:val="24"/>
              </w:rPr>
            </w:r>
          </w:p>
        </w:tc>
      </w:tr>
    </w:tbl>
    <w:p>
      <w:pPr>
        <w:pStyle w:val="934"/>
        <w:ind w:firstLine="708"/>
        <w:jc w:val="center"/>
        <w:spacing w:line="276" w:lineRule="auto"/>
        <w:rPr>
          <w:b/>
          <w:color w:val="000000" w:themeColor="text1"/>
          <w:sz w:val="24"/>
          <w:szCs w:val="24"/>
        </w:rPr>
      </w:pPr>
      <w:r>
        <w:rPr>
          <w:b/>
          <w:color w:val="000000" w:themeColor="text1"/>
          <w:sz w:val="24"/>
          <w:szCs w:val="24"/>
        </w:rPr>
      </w:r>
      <w:r>
        <w:rPr>
          <w:b/>
          <w:color w:val="000000" w:themeColor="text1"/>
          <w:sz w:val="24"/>
          <w:szCs w:val="24"/>
        </w:rPr>
      </w:r>
      <w:r>
        <w:rPr>
          <w:b/>
          <w:color w:val="000000" w:themeColor="text1"/>
          <w:sz w:val="24"/>
          <w:szCs w:val="24"/>
        </w:rPr>
      </w:r>
    </w:p>
    <w:p>
      <w:pPr>
        <w:pStyle w:val="934"/>
        <w:ind w:firstLine="709"/>
        <w:jc w:val="both"/>
        <w:spacing w:line="276" w:lineRule="auto"/>
        <w:rPr>
          <w:sz w:val="24"/>
          <w:szCs w:val="24"/>
        </w:rPr>
      </w:pPr>
      <w:r>
        <w:rPr>
          <w:sz w:val="24"/>
          <w:szCs w:val="24"/>
        </w:rPr>
        <w:t xml:space="preserve">Сумма </w:t>
      </w:r>
      <w:r>
        <w:rPr>
          <w:b/>
          <w:sz w:val="24"/>
          <w:szCs w:val="24"/>
        </w:rPr>
        <w:t xml:space="preserve">налоговых доходов</w:t>
      </w:r>
      <w:r>
        <w:rPr>
          <w:sz w:val="24"/>
          <w:szCs w:val="24"/>
        </w:rPr>
        <w:t xml:space="preserve">, поступивших в консолидированный бюджет Белоярского района, составила </w:t>
      </w:r>
      <w:r>
        <w:rPr>
          <w:sz w:val="24"/>
          <w:szCs w:val="24"/>
        </w:rPr>
        <w:t xml:space="preserve">1</w:t>
      </w:r>
      <w:r>
        <w:rPr>
          <w:sz w:val="24"/>
          <w:szCs w:val="24"/>
          <w:lang w:val="en-US"/>
        </w:rPr>
        <w:t xml:space="preserve"> </w:t>
      </w:r>
      <w:r>
        <w:rPr>
          <w:sz w:val="24"/>
          <w:szCs w:val="24"/>
        </w:rPr>
        <w:t xml:space="preserve">2</w:t>
      </w:r>
      <w:r>
        <w:rPr>
          <w:sz w:val="24"/>
          <w:szCs w:val="24"/>
        </w:rPr>
        <w:t xml:space="preserve">1</w:t>
      </w:r>
      <w:r>
        <w:rPr>
          <w:sz w:val="24"/>
          <w:szCs w:val="24"/>
        </w:rPr>
        <w:t xml:space="preserve">2</w:t>
      </w:r>
      <w:r>
        <w:rPr>
          <w:sz w:val="24"/>
          <w:szCs w:val="24"/>
        </w:rPr>
        <w:t xml:space="preserve"> </w:t>
      </w:r>
      <w:r>
        <w:rPr>
          <w:sz w:val="24"/>
          <w:szCs w:val="24"/>
        </w:rPr>
        <w:t xml:space="preserve">9</w:t>
      </w:r>
      <w:r>
        <w:rPr>
          <w:sz w:val="24"/>
          <w:szCs w:val="24"/>
        </w:rPr>
        <w:t xml:space="preserve">5</w:t>
      </w:r>
      <w:r>
        <w:rPr>
          <w:sz w:val="24"/>
          <w:szCs w:val="24"/>
        </w:rPr>
        <w:t xml:space="preserve">2</w:t>
      </w:r>
      <w:r>
        <w:rPr>
          <w:sz w:val="24"/>
          <w:szCs w:val="24"/>
        </w:rPr>
        <w:t xml:space="preserve"> </w:t>
      </w:r>
      <w:r>
        <w:rPr>
          <w:sz w:val="24"/>
          <w:szCs w:val="24"/>
        </w:rPr>
        <w:t xml:space="preserve">тыс. руб. (исполнение </w:t>
      </w:r>
      <w:r>
        <w:rPr>
          <w:sz w:val="24"/>
          <w:szCs w:val="24"/>
        </w:rPr>
        <w:t xml:space="preserve">100,8</w:t>
      </w:r>
      <w:r>
        <w:rPr>
          <w:sz w:val="24"/>
          <w:szCs w:val="24"/>
        </w:rPr>
        <w:t xml:space="preserve">% от бюджетной росписи на 202</w:t>
      </w:r>
      <w:r>
        <w:rPr>
          <w:sz w:val="24"/>
          <w:szCs w:val="24"/>
        </w:rPr>
        <w:t xml:space="preserve">4</w:t>
      </w:r>
      <w:r>
        <w:rPr>
          <w:sz w:val="24"/>
          <w:szCs w:val="24"/>
        </w:rPr>
        <w:t xml:space="preserve"> год). Основным доходным источником в общей структуре налоговых доходов консолидированного бюджета Белоярского района является налог на доходы физических лиц </w:t>
      </w:r>
      <w:r>
        <w:rPr>
          <w:sz w:val="24"/>
          <w:szCs w:val="24"/>
        </w:rPr>
        <w:t xml:space="preserve">(</w:t>
      </w:r>
      <w:r>
        <w:rPr>
          <w:sz w:val="24"/>
          <w:szCs w:val="24"/>
        </w:rPr>
        <w:t xml:space="preserve">8</w:t>
      </w:r>
      <w:r>
        <w:rPr>
          <w:sz w:val="24"/>
          <w:szCs w:val="24"/>
        </w:rPr>
        <w:t xml:space="preserve">6</w:t>
      </w:r>
      <w:r>
        <w:rPr>
          <w:sz w:val="24"/>
          <w:szCs w:val="24"/>
        </w:rPr>
        <w:t xml:space="preserve">,</w:t>
      </w:r>
      <w:r>
        <w:rPr>
          <w:sz w:val="24"/>
          <w:szCs w:val="24"/>
        </w:rPr>
        <w:t xml:space="preserve">9</w:t>
      </w:r>
      <w:r>
        <w:rPr>
          <w:sz w:val="24"/>
          <w:szCs w:val="24"/>
        </w:rPr>
        <w:t xml:space="preserve">%).</w:t>
      </w:r>
      <w:r>
        <w:rPr>
          <w:sz w:val="24"/>
          <w:szCs w:val="24"/>
        </w:rPr>
      </w:r>
      <w:r>
        <w:rPr>
          <w:sz w:val="24"/>
          <w:szCs w:val="24"/>
        </w:rPr>
      </w:r>
    </w:p>
    <w:p>
      <w:pPr>
        <w:pStyle w:val="934"/>
        <w:ind w:firstLine="708"/>
        <w:jc w:val="both"/>
        <w:spacing w:line="276" w:lineRule="auto"/>
        <w:rPr>
          <w:sz w:val="24"/>
          <w:szCs w:val="24"/>
        </w:rPr>
      </w:pPr>
      <w:r>
        <w:rPr>
          <w:b/>
          <w:sz w:val="24"/>
          <w:szCs w:val="24"/>
        </w:rPr>
        <w:t xml:space="preserve">Исполнение по неналоговым доходам </w:t>
      </w:r>
      <w:r>
        <w:rPr>
          <w:sz w:val="24"/>
          <w:szCs w:val="24"/>
        </w:rPr>
        <w:t xml:space="preserve">составило </w:t>
      </w:r>
      <w:r>
        <w:rPr>
          <w:sz w:val="24"/>
          <w:szCs w:val="24"/>
        </w:rPr>
        <w:t xml:space="preserve">14</w:t>
      </w:r>
      <w:r>
        <w:rPr>
          <w:sz w:val="24"/>
          <w:szCs w:val="24"/>
        </w:rPr>
        <w:t xml:space="preserve">0 </w:t>
      </w:r>
      <w:r>
        <w:rPr>
          <w:sz w:val="24"/>
          <w:szCs w:val="24"/>
        </w:rPr>
        <w:t xml:space="preserve">0</w:t>
      </w:r>
      <w:r>
        <w:rPr>
          <w:sz w:val="24"/>
          <w:szCs w:val="24"/>
        </w:rPr>
        <w:t xml:space="preserve">2</w:t>
      </w:r>
      <w:r>
        <w:rPr>
          <w:sz w:val="24"/>
          <w:szCs w:val="24"/>
        </w:rPr>
        <w:t xml:space="preserve">0</w:t>
      </w:r>
      <w:r>
        <w:rPr>
          <w:sz w:val="24"/>
          <w:szCs w:val="24"/>
        </w:rPr>
        <w:t xml:space="preserve"> тыс. руб. (</w:t>
      </w:r>
      <w:r>
        <w:rPr>
          <w:sz w:val="24"/>
          <w:szCs w:val="24"/>
        </w:rPr>
        <w:t xml:space="preserve">105,</w:t>
      </w:r>
      <w:r>
        <w:rPr>
          <w:sz w:val="24"/>
          <w:szCs w:val="24"/>
        </w:rPr>
        <w:t xml:space="preserve">3</w:t>
      </w:r>
      <w:r>
        <w:rPr>
          <w:sz w:val="24"/>
          <w:szCs w:val="24"/>
        </w:rPr>
        <w:t xml:space="preserve"> </w:t>
      </w:r>
      <w:r>
        <w:rPr>
          <w:sz w:val="24"/>
          <w:szCs w:val="24"/>
        </w:rPr>
        <w:t xml:space="preserve">% от бюджетной росписи на 202</w:t>
      </w:r>
      <w:r>
        <w:rPr>
          <w:sz w:val="24"/>
          <w:szCs w:val="24"/>
        </w:rPr>
        <w:t xml:space="preserve">4</w:t>
      </w:r>
      <w:r>
        <w:rPr>
          <w:sz w:val="24"/>
          <w:szCs w:val="24"/>
        </w:rPr>
        <w:t xml:space="preserve"> год).</w:t>
      </w:r>
      <w:r>
        <w:rPr>
          <w:sz w:val="24"/>
          <w:szCs w:val="24"/>
        </w:rPr>
      </w:r>
      <w:r>
        <w:rPr>
          <w:sz w:val="24"/>
          <w:szCs w:val="24"/>
        </w:rPr>
      </w:r>
    </w:p>
    <w:p>
      <w:pPr>
        <w:pStyle w:val="934"/>
        <w:ind w:firstLine="708"/>
        <w:jc w:val="both"/>
        <w:spacing w:line="276" w:lineRule="auto"/>
        <w:rPr>
          <w:sz w:val="24"/>
          <w:szCs w:val="24"/>
        </w:rPr>
      </w:pPr>
      <w:r>
        <w:rPr>
          <w:sz w:val="24"/>
          <w:szCs w:val="24"/>
        </w:rPr>
        <w:t xml:space="preserve">Удельный вес налоговых и неналоговых поступлений в общей сумме доходов консолидированного бюджета составил </w:t>
      </w:r>
      <w:r>
        <w:rPr>
          <w:sz w:val="24"/>
          <w:szCs w:val="24"/>
        </w:rPr>
        <w:t xml:space="preserve">21,1</w:t>
      </w:r>
      <w:r>
        <w:rPr>
          <w:sz w:val="24"/>
          <w:szCs w:val="24"/>
        </w:rPr>
        <w:t xml:space="preserve"> %.</w:t>
      </w:r>
      <w:r>
        <w:rPr>
          <w:sz w:val="24"/>
          <w:szCs w:val="24"/>
        </w:rPr>
        <w:t xml:space="preserve">0</w:t>
      </w:r>
      <w:r>
        <w:rPr>
          <w:sz w:val="24"/>
          <w:szCs w:val="24"/>
        </w:rPr>
      </w:r>
      <w:r>
        <w:rPr>
          <w:sz w:val="24"/>
          <w:szCs w:val="24"/>
        </w:rPr>
      </w:r>
    </w:p>
    <w:p>
      <w:pPr>
        <w:pStyle w:val="934"/>
        <w:ind w:firstLine="708"/>
        <w:jc w:val="both"/>
        <w:spacing w:line="276" w:lineRule="auto"/>
        <w:rPr>
          <w:sz w:val="24"/>
          <w:szCs w:val="24"/>
        </w:rPr>
      </w:pPr>
      <w:r>
        <w:rPr>
          <w:b/>
          <w:sz w:val="24"/>
          <w:szCs w:val="24"/>
        </w:rPr>
        <w:t xml:space="preserve">Безвозмездные перечисления </w:t>
      </w:r>
      <w:r>
        <w:rPr>
          <w:sz w:val="24"/>
          <w:szCs w:val="24"/>
        </w:rPr>
        <w:t xml:space="preserve">консолидированного бюджета Белоярского района </w:t>
      </w:r>
      <w:r>
        <w:rPr>
          <w:b/>
          <w:sz w:val="24"/>
          <w:szCs w:val="24"/>
        </w:rPr>
        <w:t xml:space="preserve">(без внутренних оборотов) </w:t>
      </w:r>
      <w:r>
        <w:rPr>
          <w:sz w:val="24"/>
          <w:szCs w:val="24"/>
        </w:rPr>
        <w:t xml:space="preserve">составили </w:t>
      </w:r>
      <w:r>
        <w:rPr>
          <w:bCs/>
          <w:sz w:val="24"/>
          <w:szCs w:val="24"/>
        </w:rPr>
        <w:t xml:space="preserve">5 046 679</w:t>
      </w:r>
      <w:r>
        <w:rPr>
          <w:bCs/>
          <w:sz w:val="24"/>
          <w:szCs w:val="24"/>
        </w:rPr>
        <w:t xml:space="preserve"> </w:t>
      </w:r>
      <w:r>
        <w:rPr>
          <w:sz w:val="24"/>
          <w:szCs w:val="24"/>
        </w:rPr>
        <w:t xml:space="preserve">тыс. руб., исполнение от годовой росписи 202</w:t>
      </w:r>
      <w:r>
        <w:rPr>
          <w:sz w:val="24"/>
          <w:szCs w:val="24"/>
        </w:rPr>
        <w:t xml:space="preserve">4</w:t>
      </w:r>
      <w:r>
        <w:rPr>
          <w:sz w:val="24"/>
          <w:szCs w:val="24"/>
        </w:rPr>
        <w:t xml:space="preserve"> года – </w:t>
      </w:r>
      <w:r>
        <w:rPr>
          <w:sz w:val="24"/>
          <w:szCs w:val="24"/>
        </w:rPr>
        <w:t xml:space="preserve">99,6</w:t>
      </w:r>
      <w:r>
        <w:rPr>
          <w:sz w:val="24"/>
          <w:szCs w:val="24"/>
        </w:rPr>
        <w:t xml:space="preserve"> %. Удельный вес безвозмездных поступлений в общей сумме доходов составил </w:t>
      </w:r>
      <w:r>
        <w:rPr>
          <w:sz w:val="24"/>
          <w:szCs w:val="24"/>
        </w:rPr>
        <w:t xml:space="preserve">78,9</w:t>
      </w:r>
      <w:r>
        <w:rPr>
          <w:sz w:val="24"/>
          <w:szCs w:val="24"/>
        </w:rPr>
        <w:t xml:space="preserve">%.</w:t>
      </w:r>
      <w:r>
        <w:rPr>
          <w:sz w:val="24"/>
          <w:szCs w:val="24"/>
        </w:rPr>
      </w:r>
      <w:r>
        <w:rPr>
          <w:sz w:val="24"/>
          <w:szCs w:val="24"/>
        </w:rPr>
      </w:r>
    </w:p>
    <w:p>
      <w:pPr>
        <w:pStyle w:val="934"/>
        <w:ind w:firstLine="708"/>
        <w:jc w:val="both"/>
        <w:spacing w:line="276" w:lineRule="auto"/>
        <w:rPr>
          <w:sz w:val="24"/>
          <w:szCs w:val="24"/>
        </w:rPr>
      </w:pPr>
      <w:r>
        <w:rPr>
          <w:sz w:val="24"/>
          <w:szCs w:val="24"/>
        </w:rPr>
        <w:t xml:space="preserve">Исполнение </w:t>
      </w:r>
      <w:r>
        <w:rPr>
          <w:sz w:val="24"/>
          <w:szCs w:val="24"/>
          <w:u w:val="single"/>
        </w:rPr>
        <w:t xml:space="preserve">консолидированного бюджета Белоярского района</w:t>
      </w:r>
      <w:r>
        <w:rPr>
          <w:b/>
          <w:sz w:val="24"/>
          <w:szCs w:val="24"/>
          <w:u w:val="single"/>
        </w:rPr>
        <w:t xml:space="preserve"> по расходам</w:t>
      </w:r>
      <w:r>
        <w:rPr>
          <w:b/>
          <w:sz w:val="24"/>
          <w:szCs w:val="24"/>
        </w:rPr>
        <w:t xml:space="preserve"> </w:t>
      </w:r>
      <w:r>
        <w:rPr>
          <w:sz w:val="24"/>
          <w:szCs w:val="24"/>
        </w:rPr>
        <w:t xml:space="preserve">(без учета внутренних оборотов) составило </w:t>
      </w:r>
      <w:r>
        <w:rPr>
          <w:sz w:val="24"/>
          <w:szCs w:val="24"/>
        </w:rPr>
        <w:t xml:space="preserve">6 563 582</w:t>
      </w:r>
      <w:r>
        <w:rPr>
          <w:sz w:val="24"/>
          <w:szCs w:val="24"/>
        </w:rPr>
        <w:t xml:space="preserve"> </w:t>
      </w:r>
      <w:r>
        <w:rPr>
          <w:sz w:val="24"/>
          <w:szCs w:val="24"/>
        </w:rPr>
        <w:t xml:space="preserve">тыс. руб</w:t>
      </w:r>
      <w:r>
        <w:rPr>
          <w:sz w:val="24"/>
          <w:szCs w:val="24"/>
        </w:rPr>
        <w:t xml:space="preserve">. (</w:t>
      </w:r>
      <w:r>
        <w:rPr>
          <w:sz w:val="24"/>
          <w:szCs w:val="24"/>
        </w:rPr>
        <w:t xml:space="preserve">97,3</w:t>
      </w:r>
      <w:r>
        <w:rPr>
          <w:sz w:val="24"/>
          <w:szCs w:val="24"/>
        </w:rPr>
        <w:t xml:space="preserve">% от бюджетной  росписи на 202</w:t>
      </w:r>
      <w:r>
        <w:rPr>
          <w:sz w:val="24"/>
          <w:szCs w:val="24"/>
        </w:rPr>
        <w:t xml:space="preserve">4</w:t>
      </w:r>
      <w:r>
        <w:rPr>
          <w:sz w:val="24"/>
          <w:szCs w:val="24"/>
        </w:rPr>
        <w:t xml:space="preserve"> год).</w:t>
      </w:r>
      <w:r>
        <w:rPr>
          <w:sz w:val="24"/>
          <w:szCs w:val="24"/>
        </w:rPr>
      </w:r>
      <w:r>
        <w:rPr>
          <w:sz w:val="24"/>
          <w:szCs w:val="24"/>
        </w:rPr>
      </w:r>
    </w:p>
    <w:p>
      <w:pPr>
        <w:pStyle w:val="934"/>
        <w:ind w:firstLine="708"/>
        <w:jc w:val="right"/>
        <w:spacing w:line="276" w:lineRule="auto"/>
        <w:rPr>
          <w:sz w:val="24"/>
          <w:szCs w:val="24"/>
        </w:rPr>
      </w:pPr>
      <w:r>
        <w:rPr>
          <w:sz w:val="24"/>
          <w:szCs w:val="24"/>
        </w:rPr>
        <w:t xml:space="preserve">Таблица 4</w:t>
      </w:r>
      <w:r>
        <w:rPr>
          <w:sz w:val="24"/>
          <w:szCs w:val="24"/>
        </w:rPr>
      </w:r>
      <w:r>
        <w:rPr>
          <w:sz w:val="24"/>
          <w:szCs w:val="24"/>
        </w:rPr>
      </w:r>
    </w:p>
    <w:p>
      <w:pPr>
        <w:pStyle w:val="934"/>
        <w:ind w:firstLine="720"/>
        <w:jc w:val="center"/>
        <w:spacing w:line="276" w:lineRule="auto"/>
        <w:tabs>
          <w:tab w:val="left" w:pos="851" w:leader="none"/>
        </w:tabs>
        <w:rPr>
          <w:b/>
          <w:sz w:val="24"/>
          <w:szCs w:val="24"/>
          <w:lang w:val="en-US"/>
        </w:rPr>
      </w:pPr>
      <w:r>
        <w:rPr>
          <w:b/>
          <w:sz w:val="24"/>
          <w:szCs w:val="24"/>
          <w:lang w:val="en-US"/>
        </w:rPr>
        <w:t xml:space="preserve">Исполнение расходной части консолидированного бюджета Белоярского района за</w:t>
      </w:r>
      <w:r>
        <w:rPr>
          <w:b/>
          <w:sz w:val="24"/>
          <w:szCs w:val="24"/>
        </w:rPr>
        <w:t xml:space="preserve"> </w:t>
      </w:r>
      <w:r>
        <w:rPr>
          <w:b/>
          <w:sz w:val="24"/>
          <w:szCs w:val="24"/>
        </w:rPr>
        <w:t xml:space="preserve">2024 год</w:t>
      </w:r>
      <w:r>
        <w:rPr>
          <w:b/>
          <w:sz w:val="24"/>
          <w:szCs w:val="24"/>
          <w:lang w:val="en-US"/>
        </w:rPr>
        <w:t xml:space="preserve">  </w:t>
      </w:r>
      <w:r>
        <w:rPr>
          <w:b/>
          <w:sz w:val="24"/>
          <w:szCs w:val="24"/>
          <w:lang w:val="en-US"/>
        </w:rPr>
      </w:r>
      <w:r>
        <w:rPr>
          <w:b/>
          <w:sz w:val="24"/>
          <w:szCs w:val="24"/>
          <w:lang w:val="en-US"/>
        </w:rPr>
      </w:r>
    </w:p>
    <w:p>
      <w:pPr>
        <w:pStyle w:val="934"/>
        <w:ind w:firstLine="720"/>
        <w:jc w:val="right"/>
        <w:spacing w:line="276" w:lineRule="auto"/>
        <w:tabs>
          <w:tab w:val="left" w:pos="851" w:leader="none"/>
        </w:tabs>
        <w:rPr>
          <w:b/>
          <w:sz w:val="24"/>
          <w:szCs w:val="24"/>
        </w:rPr>
      </w:pPr>
      <w:r>
        <w:rPr>
          <w:sz w:val="24"/>
          <w:szCs w:val="24"/>
          <w:lang w:val="en-US"/>
        </w:rPr>
        <w:t xml:space="preserve">тыс. руб.</w:t>
      </w:r>
      <w:r>
        <w:rPr>
          <w:b/>
          <w:sz w:val="24"/>
          <w:szCs w:val="24"/>
          <w:lang w:val="en-US"/>
        </w:rPr>
        <w:t xml:space="preserve"> </w:t>
      </w:r>
      <w:r>
        <w:rPr>
          <w:b/>
          <w:sz w:val="24"/>
          <w:szCs w:val="24"/>
        </w:rPr>
      </w:r>
      <w:r>
        <w:rPr>
          <w:b/>
          <w:sz w:val="24"/>
          <w:szCs w:val="24"/>
        </w:rPr>
      </w:r>
    </w:p>
    <w:tbl>
      <w:tblPr>
        <w:tblW w:w="9347" w:type="dxa"/>
        <w:tblInd w:w="93" w:type="dxa"/>
        <w:tblLayout w:type="autofit"/>
        <w:tblCellMar>
          <w:left w:w="108" w:type="dxa"/>
          <w:top w:w="0" w:type="dxa"/>
          <w:right w:w="108" w:type="dxa"/>
          <w:bottom w:w="0" w:type="dxa"/>
        </w:tblCellMar>
        <w:tblLook w:val="04A0" w:firstRow="1" w:lastRow="0" w:firstColumn="1" w:lastColumn="0" w:noHBand="0" w:noVBand="1"/>
      </w:tblPr>
      <w:tblGrid>
        <w:gridCol w:w="540"/>
        <w:gridCol w:w="4011"/>
        <w:gridCol w:w="1657"/>
        <w:gridCol w:w="1717"/>
        <w:gridCol w:w="1422"/>
      </w:tblGrid>
      <w:tr>
        <w:tblPrEx/>
        <w:trPr>
          <w:trHeight w:val="1381"/>
        </w:trPr>
        <w:tc>
          <w:tcPr>
            <w:tcBorders>
              <w:top w:val="single" w:color="000000" w:sz="4" w:space="0"/>
              <w:left w:val="single" w:color="000000" w:sz="4" w:space="0"/>
              <w:bottom w:val="single" w:color="000000" w:sz="4" w:space="0"/>
              <w:right w:val="single" w:color="000000" w:sz="4" w:space="0"/>
            </w:tcBorders>
            <w:tcW w:w="540" w:type="dxa"/>
            <w:vAlign w:val="center"/>
            <w:textDirection w:val="lrTb"/>
            <w:noWrap w:val="false"/>
          </w:tcPr>
          <w:p>
            <w:pPr>
              <w:pStyle w:val="934"/>
              <w:jc w:val="center"/>
              <w:rPr>
                <w:sz w:val="24"/>
                <w:szCs w:val="24"/>
              </w:rPr>
            </w:pPr>
            <w:r>
              <w:rPr>
                <w:sz w:val="24"/>
                <w:szCs w:val="24"/>
              </w:rPr>
              <w:t xml:space="preserve">№ п/п</w:t>
            </w:r>
            <w:r>
              <w:rPr>
                <w:sz w:val="24"/>
                <w:szCs w:val="24"/>
              </w:rPr>
            </w:r>
            <w:r>
              <w:rPr>
                <w:sz w:val="24"/>
                <w:szCs w:val="24"/>
              </w:rPr>
            </w:r>
          </w:p>
        </w:tc>
        <w:tc>
          <w:tcPr>
            <w:tcBorders>
              <w:top w:val="single" w:color="000000" w:sz="4" w:space="0"/>
              <w:left w:val="none" w:color="FFFFFF" w:sz="255" w:space="0"/>
              <w:bottom w:val="single" w:color="000000" w:sz="4" w:space="0"/>
              <w:right w:val="single" w:color="000000" w:sz="4" w:space="0"/>
            </w:tcBorders>
            <w:tcW w:w="4011" w:type="dxa"/>
            <w:vAlign w:val="center"/>
            <w:textDirection w:val="lrTb"/>
            <w:noWrap/>
          </w:tcPr>
          <w:p>
            <w:pPr>
              <w:pStyle w:val="934"/>
              <w:jc w:val="center"/>
              <w:rPr>
                <w:sz w:val="24"/>
                <w:szCs w:val="24"/>
              </w:rPr>
            </w:pPr>
            <w:r>
              <w:rPr>
                <w:sz w:val="24"/>
                <w:szCs w:val="24"/>
              </w:rPr>
              <w:t xml:space="preserve">Наименование показателя</w:t>
            </w:r>
            <w:r>
              <w:rPr>
                <w:sz w:val="24"/>
                <w:szCs w:val="24"/>
              </w:rPr>
            </w:r>
            <w:r>
              <w:rPr>
                <w:sz w:val="24"/>
                <w:szCs w:val="24"/>
              </w:rPr>
            </w:r>
          </w:p>
        </w:tc>
        <w:tc>
          <w:tcPr>
            <w:tcBorders>
              <w:top w:val="single" w:color="000000" w:sz="4" w:space="0"/>
              <w:left w:val="none" w:color="FFFFFF" w:sz="255" w:space="0"/>
              <w:bottom w:val="single" w:color="000000" w:sz="4" w:space="0"/>
              <w:right w:val="single" w:color="000000" w:sz="4" w:space="0"/>
            </w:tcBorders>
            <w:tcW w:w="1657" w:type="dxa"/>
            <w:vAlign w:val="center"/>
            <w:textDirection w:val="lrTb"/>
            <w:noWrap w:val="false"/>
          </w:tcPr>
          <w:p>
            <w:pPr>
              <w:pStyle w:val="934"/>
              <w:jc w:val="center"/>
              <w:rPr>
                <w:sz w:val="24"/>
                <w:szCs w:val="24"/>
              </w:rPr>
            </w:pPr>
            <w:r>
              <w:rPr>
                <w:sz w:val="24"/>
                <w:szCs w:val="24"/>
              </w:rPr>
              <w:t xml:space="preserve"> 2024 год -план</w:t>
            </w:r>
            <w:r>
              <w:rPr>
                <w:sz w:val="24"/>
                <w:szCs w:val="24"/>
              </w:rPr>
            </w:r>
            <w:r>
              <w:rPr>
                <w:sz w:val="24"/>
                <w:szCs w:val="24"/>
              </w:rPr>
            </w:r>
          </w:p>
        </w:tc>
        <w:tc>
          <w:tcPr>
            <w:tcBorders>
              <w:top w:val="single" w:color="000000" w:sz="4" w:space="0"/>
              <w:left w:val="none" w:color="FFFFFF" w:sz="255" w:space="0"/>
              <w:bottom w:val="single" w:color="000000" w:sz="4" w:space="0"/>
              <w:right w:val="single" w:color="000000" w:sz="4" w:space="0"/>
            </w:tcBorders>
            <w:tcW w:w="1717" w:type="dxa"/>
            <w:vAlign w:val="center"/>
            <w:textDirection w:val="lrTb"/>
            <w:noWrap w:val="false"/>
          </w:tcPr>
          <w:p>
            <w:pPr>
              <w:pStyle w:val="934"/>
              <w:jc w:val="center"/>
              <w:rPr>
                <w:sz w:val="24"/>
                <w:szCs w:val="24"/>
              </w:rPr>
            </w:pPr>
            <w:r>
              <w:rPr>
                <w:sz w:val="24"/>
                <w:szCs w:val="24"/>
              </w:rPr>
              <w:t xml:space="preserve">2024 год -  исполнено</w:t>
            </w:r>
            <w:r>
              <w:rPr>
                <w:sz w:val="24"/>
                <w:szCs w:val="24"/>
              </w:rPr>
            </w:r>
            <w:r>
              <w:rPr>
                <w:sz w:val="24"/>
                <w:szCs w:val="24"/>
              </w:rPr>
            </w:r>
          </w:p>
        </w:tc>
        <w:tc>
          <w:tcPr>
            <w:tcBorders>
              <w:top w:val="single" w:color="000000" w:sz="4" w:space="0"/>
              <w:left w:val="none" w:color="FFFFFF" w:sz="255" w:space="0"/>
              <w:bottom w:val="single" w:color="000000" w:sz="4" w:space="0"/>
              <w:right w:val="single" w:color="000000" w:sz="4" w:space="0"/>
            </w:tcBorders>
            <w:tcW w:w="1422" w:type="dxa"/>
            <w:vAlign w:val="center"/>
            <w:textDirection w:val="lrTb"/>
            <w:noWrap w:val="false"/>
          </w:tcPr>
          <w:p>
            <w:pPr>
              <w:pStyle w:val="934"/>
              <w:jc w:val="center"/>
              <w:rPr>
                <w:sz w:val="24"/>
                <w:szCs w:val="24"/>
              </w:rPr>
            </w:pPr>
            <w:r>
              <w:rPr>
                <w:sz w:val="24"/>
                <w:szCs w:val="24"/>
              </w:rPr>
              <w:t xml:space="preserve">% исполнения </w:t>
            </w:r>
            <w:r>
              <w:rPr>
                <w:sz w:val="24"/>
                <w:szCs w:val="24"/>
              </w:rPr>
            </w:r>
            <w:r>
              <w:rPr>
                <w:sz w:val="24"/>
                <w:szCs w:val="24"/>
              </w:rPr>
            </w:r>
          </w:p>
        </w:tc>
      </w:tr>
      <w:tr>
        <w:tblPrEx/>
        <w:trPr>
          <w:trHeight w:val="301"/>
        </w:trPr>
        <w:tc>
          <w:tcPr>
            <w:shd w:val="clear" w:color="000000" w:fill="ffff99"/>
            <w:tcBorders>
              <w:top w:val="none" w:color="FFFFFF" w:sz="255" w:space="0"/>
              <w:left w:val="single" w:color="000000" w:sz="4" w:space="0"/>
              <w:bottom w:val="single" w:color="000000" w:sz="4" w:space="0"/>
              <w:right w:val="single" w:color="000000" w:sz="4" w:space="0"/>
            </w:tcBorders>
            <w:tcW w:w="540" w:type="dxa"/>
            <w:vAlign w:val="center"/>
            <w:textDirection w:val="lrTb"/>
            <w:noWrap w:val="false"/>
          </w:tcPr>
          <w:p>
            <w:pPr>
              <w:pStyle w:val="934"/>
              <w:jc w:val="center"/>
              <w:rPr>
                <w:sz w:val="24"/>
                <w:szCs w:val="24"/>
              </w:rPr>
            </w:pPr>
            <w:r>
              <w:rPr>
                <w:sz w:val="24"/>
                <w:szCs w:val="24"/>
              </w:rPr>
              <w:t xml:space="preserve"> </w:t>
            </w:r>
            <w:r>
              <w:rPr>
                <w:sz w:val="24"/>
                <w:szCs w:val="24"/>
              </w:rPr>
            </w:r>
            <w:r>
              <w:rPr>
                <w:sz w:val="24"/>
                <w:szCs w:val="24"/>
              </w:rPr>
            </w:r>
          </w:p>
        </w:tc>
        <w:tc>
          <w:tcPr>
            <w:shd w:val="clear" w:color="000000" w:fill="ffff99"/>
            <w:tcBorders>
              <w:top w:val="none" w:color="FFFFFF" w:sz="255" w:space="0"/>
              <w:left w:val="none" w:color="FFFFFF" w:sz="255" w:space="0"/>
              <w:bottom w:val="single" w:color="000000" w:sz="4" w:space="0"/>
              <w:right w:val="single" w:color="000000" w:sz="4" w:space="0"/>
            </w:tcBorders>
            <w:tcW w:w="4011" w:type="dxa"/>
            <w:vAlign w:val="center"/>
            <w:textDirection w:val="lrTb"/>
            <w:noWrap/>
          </w:tcPr>
          <w:p>
            <w:pPr>
              <w:pStyle w:val="934"/>
              <w:rPr>
                <w:b/>
                <w:bCs/>
                <w:sz w:val="24"/>
                <w:szCs w:val="24"/>
              </w:rPr>
            </w:pPr>
            <w:r>
              <w:rPr>
                <w:b/>
                <w:bCs/>
                <w:sz w:val="24"/>
                <w:szCs w:val="24"/>
              </w:rPr>
              <w:t xml:space="preserve">Расходы бюджета - всего</w:t>
            </w:r>
            <w:r>
              <w:rPr>
                <w:b/>
                <w:bCs/>
                <w:sz w:val="24"/>
                <w:szCs w:val="24"/>
              </w:rPr>
            </w:r>
            <w:r>
              <w:rPr>
                <w:b/>
                <w:bCs/>
                <w:sz w:val="24"/>
                <w:szCs w:val="24"/>
              </w:rPr>
            </w:r>
          </w:p>
        </w:tc>
        <w:tc>
          <w:tcPr>
            <w:shd w:val="clear" w:color="000000" w:fill="ffff99"/>
            <w:tcBorders>
              <w:top w:val="none" w:color="FFFFFF" w:sz="255" w:space="0"/>
              <w:left w:val="none" w:color="FFFFFF" w:sz="255" w:space="0"/>
              <w:bottom w:val="single" w:color="000000" w:sz="4" w:space="0"/>
              <w:right w:val="single" w:color="000000" w:sz="4" w:space="0"/>
            </w:tcBorders>
            <w:tcW w:w="1657" w:type="dxa"/>
            <w:vAlign w:val="center"/>
            <w:textDirection w:val="lrTb"/>
            <w:noWrap w:val="false"/>
          </w:tcPr>
          <w:p>
            <w:pPr>
              <w:pStyle w:val="934"/>
              <w:jc w:val="center"/>
              <w:rPr>
                <w:b/>
                <w:bCs/>
                <w:sz w:val="24"/>
                <w:szCs w:val="24"/>
              </w:rPr>
            </w:pPr>
            <w:r>
              <w:rPr>
                <w:b/>
                <w:bCs/>
                <w:sz w:val="24"/>
                <w:szCs w:val="24"/>
              </w:rPr>
              <w:t xml:space="preserve">6 743 516  </w:t>
            </w:r>
            <w:r>
              <w:rPr>
                <w:b/>
                <w:bCs/>
                <w:sz w:val="24"/>
                <w:szCs w:val="24"/>
              </w:rPr>
            </w:r>
            <w:r>
              <w:rPr>
                <w:b/>
                <w:bCs/>
                <w:sz w:val="24"/>
                <w:szCs w:val="24"/>
              </w:rPr>
            </w:r>
          </w:p>
        </w:tc>
        <w:tc>
          <w:tcPr>
            <w:shd w:val="clear" w:color="000000" w:fill="ffff99"/>
            <w:tcBorders>
              <w:top w:val="none" w:color="FFFFFF" w:sz="255" w:space="0"/>
              <w:left w:val="none" w:color="FFFFFF" w:sz="255" w:space="0"/>
              <w:bottom w:val="single" w:color="000000" w:sz="4" w:space="0"/>
              <w:right w:val="single" w:color="000000" w:sz="4" w:space="0"/>
            </w:tcBorders>
            <w:tcW w:w="1717" w:type="dxa"/>
            <w:vAlign w:val="center"/>
            <w:textDirection w:val="lrTb"/>
            <w:noWrap w:val="false"/>
          </w:tcPr>
          <w:p>
            <w:pPr>
              <w:pStyle w:val="934"/>
              <w:jc w:val="center"/>
              <w:rPr>
                <w:b/>
                <w:bCs/>
                <w:sz w:val="24"/>
                <w:szCs w:val="24"/>
              </w:rPr>
            </w:pPr>
            <w:r>
              <w:rPr>
                <w:b/>
                <w:bCs/>
                <w:sz w:val="24"/>
                <w:szCs w:val="24"/>
              </w:rPr>
              <w:t xml:space="preserve">6 563 582  </w:t>
            </w:r>
            <w:r>
              <w:rPr>
                <w:b/>
                <w:bCs/>
                <w:sz w:val="24"/>
                <w:szCs w:val="24"/>
              </w:rPr>
            </w:r>
            <w:r>
              <w:rPr>
                <w:b/>
                <w:bCs/>
                <w:sz w:val="24"/>
                <w:szCs w:val="24"/>
              </w:rPr>
            </w:r>
          </w:p>
        </w:tc>
        <w:tc>
          <w:tcPr>
            <w:shd w:val="clear" w:color="000000" w:fill="ffff99"/>
            <w:tcBorders>
              <w:top w:val="none" w:color="FFFFFF" w:sz="255" w:space="0"/>
              <w:left w:val="none" w:color="FFFFFF" w:sz="255" w:space="0"/>
              <w:bottom w:val="single" w:color="000000" w:sz="4" w:space="0"/>
              <w:right w:val="single" w:color="000000" w:sz="4" w:space="0"/>
            </w:tcBorders>
            <w:tcW w:w="1422" w:type="dxa"/>
            <w:vAlign w:val="center"/>
            <w:textDirection w:val="lrTb"/>
            <w:noWrap w:val="false"/>
          </w:tcPr>
          <w:p>
            <w:pPr>
              <w:pStyle w:val="934"/>
              <w:jc w:val="center"/>
              <w:rPr>
                <w:b/>
                <w:bCs/>
                <w:sz w:val="24"/>
                <w:szCs w:val="24"/>
              </w:rPr>
            </w:pPr>
            <w:r>
              <w:rPr>
                <w:b/>
                <w:bCs/>
                <w:sz w:val="24"/>
                <w:szCs w:val="24"/>
              </w:rPr>
              <w:t xml:space="preserve">97,3</w:t>
            </w:r>
            <w:r>
              <w:rPr>
                <w:b/>
                <w:bCs/>
                <w:sz w:val="24"/>
                <w:szCs w:val="24"/>
              </w:rPr>
            </w:r>
            <w:r>
              <w:rPr>
                <w:b/>
                <w:bCs/>
                <w:sz w:val="24"/>
                <w:szCs w:val="24"/>
              </w:rPr>
            </w:r>
          </w:p>
        </w:tc>
      </w:tr>
      <w:tr>
        <w:tblPrEx/>
        <w:trPr>
          <w:trHeight w:val="301"/>
        </w:trPr>
        <w:tc>
          <w:tcPr>
            <w:tcBorders>
              <w:top w:val="none" w:color="FFFFFF" w:sz="255" w:space="0"/>
              <w:left w:val="single" w:color="000000" w:sz="4" w:space="0"/>
              <w:bottom w:val="single" w:color="000000" w:sz="4" w:space="0"/>
              <w:right w:val="single" w:color="000000" w:sz="4" w:space="0"/>
            </w:tcBorders>
            <w:tcW w:w="540" w:type="dxa"/>
            <w:vAlign w:val="bottom"/>
            <w:textDirection w:val="lrTb"/>
            <w:noWrap/>
          </w:tcPr>
          <w:p>
            <w:pPr>
              <w:pStyle w:val="934"/>
              <w:jc w:val="center"/>
              <w:rPr>
                <w:sz w:val="24"/>
                <w:szCs w:val="24"/>
              </w:rPr>
            </w:pPr>
            <w:r>
              <w:rPr>
                <w:sz w:val="24"/>
                <w:szCs w:val="24"/>
              </w:rPr>
              <w:t xml:space="preserve">1.</w:t>
            </w:r>
            <w:r>
              <w:rPr>
                <w:sz w:val="24"/>
                <w:szCs w:val="24"/>
              </w:rPr>
            </w:r>
            <w:r>
              <w:rPr>
                <w:sz w:val="24"/>
                <w:szCs w:val="24"/>
              </w:rPr>
            </w:r>
          </w:p>
        </w:tc>
        <w:tc>
          <w:tcPr>
            <w:tcBorders>
              <w:top w:val="none" w:color="FFFFFF" w:sz="255" w:space="0"/>
              <w:left w:val="none" w:color="FFFFFF" w:sz="255" w:space="0"/>
              <w:bottom w:val="single" w:color="000000" w:sz="4" w:space="0"/>
              <w:right w:val="single" w:color="000000" w:sz="4" w:space="0"/>
            </w:tcBorders>
            <w:tcW w:w="4011" w:type="dxa"/>
            <w:vAlign w:val="bottom"/>
            <w:textDirection w:val="lrTb"/>
            <w:noWrap/>
          </w:tcPr>
          <w:p>
            <w:pPr>
              <w:pStyle w:val="934"/>
              <w:rPr>
                <w:sz w:val="24"/>
                <w:szCs w:val="24"/>
              </w:rPr>
            </w:pPr>
            <w:r>
              <w:rPr>
                <w:sz w:val="24"/>
                <w:szCs w:val="24"/>
              </w:rPr>
              <w:t xml:space="preserve">Общегосударственные вопросы</w:t>
            </w:r>
            <w:r>
              <w:rPr>
                <w:sz w:val="24"/>
                <w:szCs w:val="24"/>
              </w:rPr>
            </w:r>
            <w:r>
              <w:rPr>
                <w:sz w:val="24"/>
                <w:szCs w:val="24"/>
              </w:rPr>
            </w:r>
          </w:p>
        </w:tc>
        <w:tc>
          <w:tcPr>
            <w:tcBorders>
              <w:top w:val="none" w:color="FFFFFF" w:sz="255" w:space="0"/>
              <w:left w:val="none" w:color="FFFFFF" w:sz="255" w:space="0"/>
              <w:bottom w:val="single" w:color="000000" w:sz="4" w:space="0"/>
              <w:right w:val="single" w:color="000000" w:sz="4" w:space="0"/>
            </w:tcBorders>
            <w:tcW w:w="1657" w:type="dxa"/>
            <w:vAlign w:val="bottom"/>
            <w:textDirection w:val="lrTb"/>
            <w:noWrap/>
          </w:tcPr>
          <w:p>
            <w:pPr>
              <w:pStyle w:val="934"/>
              <w:jc w:val="center"/>
              <w:rPr>
                <w:sz w:val="24"/>
                <w:szCs w:val="24"/>
              </w:rPr>
            </w:pPr>
            <w:r>
              <w:rPr>
                <w:sz w:val="24"/>
                <w:szCs w:val="24"/>
              </w:rPr>
              <w:t xml:space="preserve">827 161  </w:t>
            </w:r>
            <w:r>
              <w:rPr>
                <w:sz w:val="24"/>
                <w:szCs w:val="24"/>
              </w:rPr>
            </w:r>
            <w:r>
              <w:rPr>
                <w:sz w:val="24"/>
                <w:szCs w:val="24"/>
              </w:rPr>
            </w:r>
          </w:p>
        </w:tc>
        <w:tc>
          <w:tcPr>
            <w:tcBorders>
              <w:top w:val="none" w:color="FFFFFF" w:sz="255" w:space="0"/>
              <w:left w:val="none" w:color="FFFFFF" w:sz="255" w:space="0"/>
              <w:bottom w:val="single" w:color="000000" w:sz="4" w:space="0"/>
              <w:right w:val="single" w:color="000000" w:sz="4" w:space="0"/>
            </w:tcBorders>
            <w:tcW w:w="1717" w:type="dxa"/>
            <w:vAlign w:val="bottom"/>
            <w:textDirection w:val="lrTb"/>
            <w:noWrap/>
          </w:tcPr>
          <w:p>
            <w:pPr>
              <w:pStyle w:val="934"/>
              <w:jc w:val="center"/>
              <w:rPr>
                <w:sz w:val="24"/>
                <w:szCs w:val="24"/>
              </w:rPr>
            </w:pPr>
            <w:r>
              <w:rPr>
                <w:sz w:val="24"/>
                <w:szCs w:val="24"/>
              </w:rPr>
              <w:t xml:space="preserve">745 710  </w:t>
            </w:r>
            <w:r>
              <w:rPr>
                <w:sz w:val="24"/>
                <w:szCs w:val="24"/>
              </w:rPr>
            </w:r>
            <w:r>
              <w:rPr>
                <w:sz w:val="24"/>
                <w:szCs w:val="24"/>
              </w:rPr>
            </w:r>
          </w:p>
        </w:tc>
        <w:tc>
          <w:tcPr>
            <w:tcBorders>
              <w:top w:val="none" w:color="FFFFFF" w:sz="255" w:space="0"/>
              <w:left w:val="none" w:color="FFFFFF" w:sz="255" w:space="0"/>
              <w:bottom w:val="single" w:color="000000" w:sz="4" w:space="0"/>
              <w:right w:val="single" w:color="000000" w:sz="4" w:space="0"/>
            </w:tcBorders>
            <w:tcW w:w="1422" w:type="dxa"/>
            <w:vAlign w:val="center"/>
            <w:textDirection w:val="lrTb"/>
            <w:noWrap w:val="false"/>
          </w:tcPr>
          <w:p>
            <w:pPr>
              <w:pStyle w:val="934"/>
              <w:jc w:val="center"/>
              <w:rPr>
                <w:sz w:val="24"/>
                <w:szCs w:val="24"/>
              </w:rPr>
            </w:pPr>
            <w:r>
              <w:rPr>
                <w:sz w:val="24"/>
                <w:szCs w:val="24"/>
              </w:rPr>
              <w:t xml:space="preserve">90,2</w:t>
            </w:r>
            <w:r>
              <w:rPr>
                <w:sz w:val="24"/>
                <w:szCs w:val="24"/>
              </w:rPr>
            </w:r>
            <w:r>
              <w:rPr>
                <w:sz w:val="24"/>
                <w:szCs w:val="24"/>
              </w:rPr>
            </w:r>
          </w:p>
        </w:tc>
      </w:tr>
      <w:tr>
        <w:tblPrEx/>
        <w:trPr>
          <w:trHeight w:val="301"/>
        </w:trPr>
        <w:tc>
          <w:tcPr>
            <w:tcBorders>
              <w:top w:val="none" w:color="FFFFFF" w:sz="255" w:space="0"/>
              <w:left w:val="single" w:color="000000" w:sz="4" w:space="0"/>
              <w:bottom w:val="single" w:color="000000" w:sz="4" w:space="0"/>
              <w:right w:val="single" w:color="000000" w:sz="4" w:space="0"/>
            </w:tcBorders>
            <w:tcW w:w="540" w:type="dxa"/>
            <w:vAlign w:val="bottom"/>
            <w:textDirection w:val="lrTb"/>
            <w:noWrap/>
          </w:tcPr>
          <w:p>
            <w:pPr>
              <w:pStyle w:val="934"/>
              <w:jc w:val="center"/>
              <w:rPr>
                <w:sz w:val="24"/>
                <w:szCs w:val="24"/>
              </w:rPr>
            </w:pPr>
            <w:r>
              <w:rPr>
                <w:sz w:val="24"/>
                <w:szCs w:val="24"/>
              </w:rPr>
              <w:t xml:space="preserve">2.</w:t>
            </w:r>
            <w:r>
              <w:rPr>
                <w:sz w:val="24"/>
                <w:szCs w:val="24"/>
              </w:rPr>
            </w:r>
            <w:r>
              <w:rPr>
                <w:sz w:val="24"/>
                <w:szCs w:val="24"/>
              </w:rPr>
            </w:r>
          </w:p>
        </w:tc>
        <w:tc>
          <w:tcPr>
            <w:tcBorders>
              <w:top w:val="none" w:color="FFFFFF" w:sz="255" w:space="0"/>
              <w:left w:val="none" w:color="FFFFFF" w:sz="255" w:space="0"/>
              <w:bottom w:val="single" w:color="000000" w:sz="4" w:space="0"/>
              <w:right w:val="single" w:color="000000" w:sz="4" w:space="0"/>
            </w:tcBorders>
            <w:tcW w:w="4011" w:type="dxa"/>
            <w:vAlign w:val="bottom"/>
            <w:textDirection w:val="lrTb"/>
            <w:noWrap/>
          </w:tcPr>
          <w:p>
            <w:pPr>
              <w:pStyle w:val="934"/>
              <w:rPr>
                <w:sz w:val="24"/>
                <w:szCs w:val="24"/>
              </w:rPr>
            </w:pPr>
            <w:r>
              <w:rPr>
                <w:sz w:val="24"/>
                <w:szCs w:val="24"/>
              </w:rPr>
              <w:t xml:space="preserve">Национальная оборона</w:t>
            </w:r>
            <w:r>
              <w:rPr>
                <w:sz w:val="24"/>
                <w:szCs w:val="24"/>
              </w:rPr>
            </w:r>
            <w:r>
              <w:rPr>
                <w:sz w:val="24"/>
                <w:szCs w:val="24"/>
              </w:rPr>
            </w:r>
          </w:p>
        </w:tc>
        <w:tc>
          <w:tcPr>
            <w:tcBorders>
              <w:top w:val="none" w:color="FFFFFF" w:sz="255" w:space="0"/>
              <w:left w:val="none" w:color="FFFFFF" w:sz="255" w:space="0"/>
              <w:bottom w:val="single" w:color="000000" w:sz="4" w:space="0"/>
              <w:right w:val="single" w:color="000000" w:sz="4" w:space="0"/>
            </w:tcBorders>
            <w:tcW w:w="1657" w:type="dxa"/>
            <w:vAlign w:val="bottom"/>
            <w:textDirection w:val="lrTb"/>
            <w:noWrap/>
          </w:tcPr>
          <w:p>
            <w:pPr>
              <w:pStyle w:val="934"/>
              <w:jc w:val="center"/>
              <w:rPr>
                <w:sz w:val="24"/>
                <w:szCs w:val="24"/>
              </w:rPr>
            </w:pPr>
            <w:r>
              <w:rPr>
                <w:sz w:val="24"/>
                <w:szCs w:val="24"/>
              </w:rPr>
              <w:t xml:space="preserve">5 001  </w:t>
            </w:r>
            <w:r>
              <w:rPr>
                <w:sz w:val="24"/>
                <w:szCs w:val="24"/>
              </w:rPr>
            </w:r>
            <w:r>
              <w:rPr>
                <w:sz w:val="24"/>
                <w:szCs w:val="24"/>
              </w:rPr>
            </w:r>
          </w:p>
        </w:tc>
        <w:tc>
          <w:tcPr>
            <w:tcBorders>
              <w:top w:val="none" w:color="FFFFFF" w:sz="255" w:space="0"/>
              <w:left w:val="none" w:color="FFFFFF" w:sz="255" w:space="0"/>
              <w:bottom w:val="single" w:color="000000" w:sz="4" w:space="0"/>
              <w:right w:val="single" w:color="000000" w:sz="4" w:space="0"/>
            </w:tcBorders>
            <w:tcW w:w="1717" w:type="dxa"/>
            <w:vAlign w:val="bottom"/>
            <w:textDirection w:val="lrTb"/>
            <w:noWrap/>
          </w:tcPr>
          <w:p>
            <w:pPr>
              <w:pStyle w:val="934"/>
              <w:jc w:val="center"/>
              <w:rPr>
                <w:sz w:val="24"/>
                <w:szCs w:val="24"/>
              </w:rPr>
            </w:pPr>
            <w:r>
              <w:rPr>
                <w:sz w:val="24"/>
                <w:szCs w:val="24"/>
              </w:rPr>
              <w:t xml:space="preserve">4 969  </w:t>
            </w:r>
            <w:r>
              <w:rPr>
                <w:sz w:val="24"/>
                <w:szCs w:val="24"/>
              </w:rPr>
            </w:r>
            <w:r>
              <w:rPr>
                <w:sz w:val="24"/>
                <w:szCs w:val="24"/>
              </w:rPr>
            </w:r>
          </w:p>
        </w:tc>
        <w:tc>
          <w:tcPr>
            <w:tcBorders>
              <w:top w:val="none" w:color="FFFFFF" w:sz="255" w:space="0"/>
              <w:left w:val="none" w:color="FFFFFF" w:sz="255" w:space="0"/>
              <w:bottom w:val="single" w:color="000000" w:sz="4" w:space="0"/>
              <w:right w:val="single" w:color="000000" w:sz="4" w:space="0"/>
            </w:tcBorders>
            <w:tcW w:w="1422" w:type="dxa"/>
            <w:vAlign w:val="center"/>
            <w:textDirection w:val="lrTb"/>
            <w:noWrap w:val="false"/>
          </w:tcPr>
          <w:p>
            <w:pPr>
              <w:pStyle w:val="934"/>
              <w:jc w:val="center"/>
              <w:rPr>
                <w:sz w:val="24"/>
                <w:szCs w:val="24"/>
              </w:rPr>
            </w:pPr>
            <w:r>
              <w:rPr>
                <w:sz w:val="24"/>
                <w:szCs w:val="24"/>
              </w:rPr>
              <w:t xml:space="preserve">99,4</w:t>
            </w:r>
            <w:r>
              <w:rPr>
                <w:sz w:val="24"/>
                <w:szCs w:val="24"/>
              </w:rPr>
            </w:r>
            <w:r>
              <w:rPr>
                <w:sz w:val="24"/>
                <w:szCs w:val="24"/>
              </w:rPr>
            </w:r>
          </w:p>
        </w:tc>
      </w:tr>
      <w:tr>
        <w:tblPrEx/>
        <w:trPr>
          <w:trHeight w:val="603"/>
        </w:trPr>
        <w:tc>
          <w:tcPr>
            <w:tcBorders>
              <w:top w:val="none" w:color="FFFFFF" w:sz="255" w:space="0"/>
              <w:left w:val="single" w:color="000000" w:sz="4" w:space="0"/>
              <w:bottom w:val="single" w:color="000000" w:sz="4" w:space="0"/>
              <w:right w:val="single" w:color="000000" w:sz="4" w:space="0"/>
            </w:tcBorders>
            <w:tcW w:w="540" w:type="dxa"/>
            <w:vAlign w:val="bottom"/>
            <w:textDirection w:val="lrTb"/>
            <w:noWrap/>
          </w:tcPr>
          <w:p>
            <w:pPr>
              <w:pStyle w:val="934"/>
              <w:jc w:val="center"/>
              <w:rPr>
                <w:sz w:val="24"/>
                <w:szCs w:val="24"/>
              </w:rPr>
            </w:pPr>
            <w:r>
              <w:rPr>
                <w:sz w:val="24"/>
                <w:szCs w:val="24"/>
              </w:rPr>
              <w:t xml:space="preserve">3.</w:t>
            </w:r>
            <w:r>
              <w:rPr>
                <w:sz w:val="24"/>
                <w:szCs w:val="24"/>
              </w:rPr>
            </w:r>
            <w:r>
              <w:rPr>
                <w:sz w:val="24"/>
                <w:szCs w:val="24"/>
              </w:rPr>
            </w:r>
          </w:p>
        </w:tc>
        <w:tc>
          <w:tcPr>
            <w:tcBorders>
              <w:top w:val="none" w:color="FFFFFF" w:sz="255" w:space="0"/>
              <w:left w:val="none" w:color="FFFFFF" w:sz="255" w:space="0"/>
              <w:bottom w:val="single" w:color="000000" w:sz="4" w:space="0"/>
              <w:right w:val="single" w:color="000000" w:sz="4" w:space="0"/>
            </w:tcBorders>
            <w:tcW w:w="4011" w:type="dxa"/>
            <w:vAlign w:val="bottom"/>
            <w:textDirection w:val="lrTb"/>
            <w:noWrap w:val="false"/>
          </w:tcPr>
          <w:p>
            <w:pPr>
              <w:pStyle w:val="934"/>
              <w:rPr>
                <w:sz w:val="24"/>
                <w:szCs w:val="24"/>
              </w:rPr>
            </w:pPr>
            <w:r>
              <w:rPr>
                <w:sz w:val="24"/>
                <w:szCs w:val="24"/>
              </w:rPr>
              <w:t xml:space="preserve">Национальная безопасность и правоохранительная деятельность</w:t>
            </w:r>
            <w:r>
              <w:rPr>
                <w:sz w:val="24"/>
                <w:szCs w:val="24"/>
              </w:rPr>
            </w:r>
            <w:r>
              <w:rPr>
                <w:sz w:val="24"/>
                <w:szCs w:val="24"/>
              </w:rPr>
            </w:r>
          </w:p>
        </w:tc>
        <w:tc>
          <w:tcPr>
            <w:tcBorders>
              <w:top w:val="none" w:color="FFFFFF" w:sz="255" w:space="0"/>
              <w:left w:val="none" w:color="FFFFFF" w:sz="255" w:space="0"/>
              <w:bottom w:val="single" w:color="000000" w:sz="4" w:space="0"/>
              <w:right w:val="single" w:color="000000" w:sz="4" w:space="0"/>
            </w:tcBorders>
            <w:tcW w:w="1657" w:type="dxa"/>
            <w:vAlign w:val="center"/>
            <w:textDirection w:val="lrTb"/>
            <w:noWrap/>
          </w:tcPr>
          <w:p>
            <w:pPr>
              <w:pStyle w:val="934"/>
              <w:jc w:val="center"/>
              <w:rPr>
                <w:sz w:val="24"/>
                <w:szCs w:val="24"/>
              </w:rPr>
            </w:pPr>
            <w:r>
              <w:rPr>
                <w:sz w:val="24"/>
                <w:szCs w:val="24"/>
              </w:rPr>
              <w:t xml:space="preserve">39 812  </w:t>
            </w:r>
            <w:r>
              <w:rPr>
                <w:sz w:val="24"/>
                <w:szCs w:val="24"/>
              </w:rPr>
            </w:r>
            <w:r>
              <w:rPr>
                <w:sz w:val="24"/>
                <w:szCs w:val="24"/>
              </w:rPr>
            </w:r>
          </w:p>
        </w:tc>
        <w:tc>
          <w:tcPr>
            <w:tcBorders>
              <w:top w:val="none" w:color="FFFFFF" w:sz="255" w:space="0"/>
              <w:left w:val="none" w:color="FFFFFF" w:sz="255" w:space="0"/>
              <w:bottom w:val="single" w:color="000000" w:sz="4" w:space="0"/>
              <w:right w:val="single" w:color="000000" w:sz="4" w:space="0"/>
            </w:tcBorders>
            <w:tcW w:w="1717" w:type="dxa"/>
            <w:vAlign w:val="center"/>
            <w:textDirection w:val="lrTb"/>
            <w:noWrap/>
          </w:tcPr>
          <w:p>
            <w:pPr>
              <w:pStyle w:val="934"/>
              <w:jc w:val="center"/>
              <w:rPr>
                <w:sz w:val="24"/>
                <w:szCs w:val="24"/>
              </w:rPr>
            </w:pPr>
            <w:r>
              <w:rPr>
                <w:sz w:val="24"/>
                <w:szCs w:val="24"/>
              </w:rPr>
              <w:t xml:space="preserve">39 711  </w:t>
            </w:r>
            <w:r>
              <w:rPr>
                <w:sz w:val="24"/>
                <w:szCs w:val="24"/>
              </w:rPr>
            </w:r>
            <w:r>
              <w:rPr>
                <w:sz w:val="24"/>
                <w:szCs w:val="24"/>
              </w:rPr>
            </w:r>
          </w:p>
        </w:tc>
        <w:tc>
          <w:tcPr>
            <w:tcBorders>
              <w:top w:val="none" w:color="FFFFFF" w:sz="255" w:space="0"/>
              <w:left w:val="none" w:color="FFFFFF" w:sz="255" w:space="0"/>
              <w:bottom w:val="single" w:color="000000" w:sz="4" w:space="0"/>
              <w:right w:val="single" w:color="000000" w:sz="4" w:space="0"/>
            </w:tcBorders>
            <w:tcW w:w="1422" w:type="dxa"/>
            <w:vAlign w:val="center"/>
            <w:textDirection w:val="lrTb"/>
            <w:noWrap w:val="false"/>
          </w:tcPr>
          <w:p>
            <w:pPr>
              <w:pStyle w:val="934"/>
              <w:jc w:val="center"/>
              <w:rPr>
                <w:sz w:val="24"/>
                <w:szCs w:val="24"/>
              </w:rPr>
            </w:pPr>
            <w:r>
              <w:rPr>
                <w:sz w:val="24"/>
                <w:szCs w:val="24"/>
              </w:rPr>
              <w:t xml:space="preserve">99,7</w:t>
            </w:r>
            <w:r>
              <w:rPr>
                <w:sz w:val="24"/>
                <w:szCs w:val="24"/>
              </w:rPr>
            </w:r>
            <w:r>
              <w:rPr>
                <w:sz w:val="24"/>
                <w:szCs w:val="24"/>
              </w:rPr>
            </w:r>
          </w:p>
        </w:tc>
      </w:tr>
      <w:tr>
        <w:tblPrEx/>
        <w:trPr>
          <w:trHeight w:val="301"/>
        </w:trPr>
        <w:tc>
          <w:tcPr>
            <w:tcBorders>
              <w:top w:val="none" w:color="FFFFFF" w:sz="255" w:space="0"/>
              <w:left w:val="single" w:color="000000" w:sz="4" w:space="0"/>
              <w:bottom w:val="single" w:color="000000" w:sz="4" w:space="0"/>
              <w:right w:val="single" w:color="000000" w:sz="4" w:space="0"/>
            </w:tcBorders>
            <w:tcW w:w="540" w:type="dxa"/>
            <w:vAlign w:val="bottom"/>
            <w:textDirection w:val="lrTb"/>
            <w:noWrap/>
          </w:tcPr>
          <w:p>
            <w:pPr>
              <w:pStyle w:val="934"/>
              <w:jc w:val="center"/>
              <w:rPr>
                <w:sz w:val="24"/>
                <w:szCs w:val="24"/>
              </w:rPr>
            </w:pPr>
            <w:r>
              <w:rPr>
                <w:sz w:val="24"/>
                <w:szCs w:val="24"/>
              </w:rPr>
              <w:t xml:space="preserve">4.</w:t>
            </w:r>
            <w:r>
              <w:rPr>
                <w:sz w:val="24"/>
                <w:szCs w:val="24"/>
              </w:rPr>
            </w:r>
            <w:r>
              <w:rPr>
                <w:sz w:val="24"/>
                <w:szCs w:val="24"/>
              </w:rPr>
            </w:r>
          </w:p>
        </w:tc>
        <w:tc>
          <w:tcPr>
            <w:tcBorders>
              <w:top w:val="none" w:color="FFFFFF" w:sz="255" w:space="0"/>
              <w:left w:val="none" w:color="FFFFFF" w:sz="255" w:space="0"/>
              <w:bottom w:val="single" w:color="000000" w:sz="4" w:space="0"/>
              <w:right w:val="single" w:color="000000" w:sz="4" w:space="0"/>
            </w:tcBorders>
            <w:tcW w:w="4011" w:type="dxa"/>
            <w:vAlign w:val="bottom"/>
            <w:textDirection w:val="lrTb"/>
            <w:noWrap w:val="false"/>
          </w:tcPr>
          <w:p>
            <w:pPr>
              <w:pStyle w:val="934"/>
              <w:rPr>
                <w:sz w:val="24"/>
                <w:szCs w:val="24"/>
              </w:rPr>
            </w:pPr>
            <w:r>
              <w:rPr>
                <w:sz w:val="24"/>
                <w:szCs w:val="24"/>
              </w:rPr>
              <w:t xml:space="preserve">Национальная экономика</w:t>
            </w:r>
            <w:r>
              <w:rPr>
                <w:sz w:val="24"/>
                <w:szCs w:val="24"/>
              </w:rPr>
            </w:r>
            <w:r>
              <w:rPr>
                <w:sz w:val="24"/>
                <w:szCs w:val="24"/>
              </w:rPr>
            </w:r>
          </w:p>
        </w:tc>
        <w:tc>
          <w:tcPr>
            <w:tcBorders>
              <w:top w:val="none" w:color="FFFFFF" w:sz="255" w:space="0"/>
              <w:left w:val="none" w:color="FFFFFF" w:sz="255" w:space="0"/>
              <w:bottom w:val="single" w:color="000000" w:sz="4" w:space="0"/>
              <w:right w:val="single" w:color="000000" w:sz="4" w:space="0"/>
            </w:tcBorders>
            <w:tcW w:w="1657" w:type="dxa"/>
            <w:vAlign w:val="bottom"/>
            <w:textDirection w:val="lrTb"/>
            <w:noWrap/>
          </w:tcPr>
          <w:p>
            <w:pPr>
              <w:pStyle w:val="934"/>
              <w:jc w:val="center"/>
              <w:rPr>
                <w:sz w:val="24"/>
                <w:szCs w:val="24"/>
              </w:rPr>
            </w:pPr>
            <w:r>
              <w:rPr>
                <w:sz w:val="24"/>
                <w:szCs w:val="24"/>
              </w:rPr>
              <w:t xml:space="preserve">560 161  </w:t>
            </w:r>
            <w:r>
              <w:rPr>
                <w:sz w:val="24"/>
                <w:szCs w:val="24"/>
              </w:rPr>
            </w:r>
            <w:r>
              <w:rPr>
                <w:sz w:val="24"/>
                <w:szCs w:val="24"/>
              </w:rPr>
            </w:r>
          </w:p>
        </w:tc>
        <w:tc>
          <w:tcPr>
            <w:tcBorders>
              <w:top w:val="none" w:color="FFFFFF" w:sz="255" w:space="0"/>
              <w:left w:val="none" w:color="FFFFFF" w:sz="255" w:space="0"/>
              <w:bottom w:val="single" w:color="000000" w:sz="4" w:space="0"/>
              <w:right w:val="single" w:color="000000" w:sz="4" w:space="0"/>
            </w:tcBorders>
            <w:tcW w:w="1717" w:type="dxa"/>
            <w:vAlign w:val="bottom"/>
            <w:textDirection w:val="lrTb"/>
            <w:noWrap/>
          </w:tcPr>
          <w:p>
            <w:pPr>
              <w:pStyle w:val="934"/>
              <w:jc w:val="center"/>
              <w:rPr>
                <w:sz w:val="24"/>
                <w:szCs w:val="24"/>
              </w:rPr>
            </w:pPr>
            <w:r>
              <w:rPr>
                <w:sz w:val="24"/>
                <w:szCs w:val="24"/>
              </w:rPr>
              <w:t xml:space="preserve">545 082  </w:t>
            </w:r>
            <w:r>
              <w:rPr>
                <w:sz w:val="24"/>
                <w:szCs w:val="24"/>
              </w:rPr>
            </w:r>
            <w:r>
              <w:rPr>
                <w:sz w:val="24"/>
                <w:szCs w:val="24"/>
              </w:rPr>
            </w:r>
          </w:p>
        </w:tc>
        <w:tc>
          <w:tcPr>
            <w:tcBorders>
              <w:top w:val="none" w:color="FFFFFF" w:sz="255" w:space="0"/>
              <w:left w:val="none" w:color="FFFFFF" w:sz="255" w:space="0"/>
              <w:bottom w:val="single" w:color="000000" w:sz="4" w:space="0"/>
              <w:right w:val="single" w:color="000000" w:sz="4" w:space="0"/>
            </w:tcBorders>
            <w:tcW w:w="1422" w:type="dxa"/>
            <w:vAlign w:val="center"/>
            <w:textDirection w:val="lrTb"/>
            <w:noWrap w:val="false"/>
          </w:tcPr>
          <w:p>
            <w:pPr>
              <w:pStyle w:val="934"/>
              <w:jc w:val="center"/>
              <w:rPr>
                <w:sz w:val="24"/>
                <w:szCs w:val="24"/>
              </w:rPr>
            </w:pPr>
            <w:r>
              <w:rPr>
                <w:sz w:val="24"/>
                <w:szCs w:val="24"/>
              </w:rPr>
              <w:t xml:space="preserve">97,3</w:t>
            </w:r>
            <w:r>
              <w:rPr>
                <w:sz w:val="24"/>
                <w:szCs w:val="24"/>
              </w:rPr>
            </w:r>
            <w:r>
              <w:rPr>
                <w:sz w:val="24"/>
                <w:szCs w:val="24"/>
              </w:rPr>
            </w:r>
          </w:p>
        </w:tc>
      </w:tr>
      <w:tr>
        <w:tblPrEx/>
        <w:trPr>
          <w:trHeight w:val="301"/>
        </w:trPr>
        <w:tc>
          <w:tcPr>
            <w:tcBorders>
              <w:top w:val="none" w:color="FFFFFF" w:sz="255" w:space="0"/>
              <w:left w:val="single" w:color="000000" w:sz="4" w:space="0"/>
              <w:bottom w:val="single" w:color="000000" w:sz="4" w:space="0"/>
              <w:right w:val="single" w:color="000000" w:sz="4" w:space="0"/>
            </w:tcBorders>
            <w:tcW w:w="540" w:type="dxa"/>
            <w:vAlign w:val="bottom"/>
            <w:textDirection w:val="lrTb"/>
            <w:noWrap/>
          </w:tcPr>
          <w:p>
            <w:pPr>
              <w:pStyle w:val="934"/>
              <w:jc w:val="center"/>
              <w:rPr>
                <w:sz w:val="24"/>
                <w:szCs w:val="24"/>
              </w:rPr>
            </w:pPr>
            <w:r>
              <w:rPr>
                <w:sz w:val="24"/>
                <w:szCs w:val="24"/>
              </w:rPr>
              <w:t xml:space="preserve">5.</w:t>
            </w:r>
            <w:r>
              <w:rPr>
                <w:sz w:val="24"/>
                <w:szCs w:val="24"/>
              </w:rPr>
            </w:r>
            <w:r>
              <w:rPr>
                <w:sz w:val="24"/>
                <w:szCs w:val="24"/>
              </w:rPr>
            </w:r>
          </w:p>
        </w:tc>
        <w:tc>
          <w:tcPr>
            <w:tcBorders>
              <w:top w:val="none" w:color="FFFFFF" w:sz="255" w:space="0"/>
              <w:left w:val="none" w:color="FFFFFF" w:sz="255" w:space="0"/>
              <w:bottom w:val="single" w:color="000000" w:sz="4" w:space="0"/>
              <w:right w:val="single" w:color="000000" w:sz="4" w:space="0"/>
            </w:tcBorders>
            <w:tcW w:w="4011" w:type="dxa"/>
            <w:vAlign w:val="bottom"/>
            <w:textDirection w:val="lrTb"/>
            <w:noWrap w:val="false"/>
          </w:tcPr>
          <w:p>
            <w:pPr>
              <w:pStyle w:val="934"/>
              <w:rPr>
                <w:sz w:val="24"/>
                <w:szCs w:val="24"/>
              </w:rPr>
            </w:pPr>
            <w:r>
              <w:rPr>
                <w:sz w:val="24"/>
                <w:szCs w:val="24"/>
              </w:rPr>
              <w:t xml:space="preserve">Жилищно-коммунальное хозяйство</w:t>
            </w:r>
            <w:r>
              <w:rPr>
                <w:sz w:val="24"/>
                <w:szCs w:val="24"/>
              </w:rPr>
            </w:r>
            <w:r>
              <w:rPr>
                <w:sz w:val="24"/>
                <w:szCs w:val="24"/>
              </w:rPr>
            </w:r>
          </w:p>
        </w:tc>
        <w:tc>
          <w:tcPr>
            <w:tcBorders>
              <w:top w:val="none" w:color="FFFFFF" w:sz="255" w:space="0"/>
              <w:left w:val="none" w:color="FFFFFF" w:sz="255" w:space="0"/>
              <w:bottom w:val="single" w:color="000000" w:sz="4" w:space="0"/>
              <w:right w:val="single" w:color="000000" w:sz="4" w:space="0"/>
            </w:tcBorders>
            <w:tcW w:w="1657" w:type="dxa"/>
            <w:vAlign w:val="bottom"/>
            <w:textDirection w:val="lrTb"/>
            <w:noWrap/>
          </w:tcPr>
          <w:p>
            <w:pPr>
              <w:pStyle w:val="934"/>
              <w:jc w:val="center"/>
              <w:rPr>
                <w:sz w:val="24"/>
                <w:szCs w:val="24"/>
              </w:rPr>
            </w:pPr>
            <w:r>
              <w:rPr>
                <w:sz w:val="24"/>
                <w:szCs w:val="24"/>
              </w:rPr>
              <w:t xml:space="preserve">2 320 427  </w:t>
            </w:r>
            <w:r>
              <w:rPr>
                <w:sz w:val="24"/>
                <w:szCs w:val="24"/>
              </w:rPr>
            </w:r>
            <w:r>
              <w:rPr>
                <w:sz w:val="24"/>
                <w:szCs w:val="24"/>
              </w:rPr>
            </w:r>
          </w:p>
        </w:tc>
        <w:tc>
          <w:tcPr>
            <w:tcBorders>
              <w:top w:val="none" w:color="FFFFFF" w:sz="255" w:space="0"/>
              <w:left w:val="none" w:color="FFFFFF" w:sz="255" w:space="0"/>
              <w:bottom w:val="single" w:color="000000" w:sz="4" w:space="0"/>
              <w:right w:val="single" w:color="000000" w:sz="4" w:space="0"/>
            </w:tcBorders>
            <w:tcW w:w="1717" w:type="dxa"/>
            <w:vAlign w:val="bottom"/>
            <w:textDirection w:val="lrTb"/>
            <w:noWrap/>
          </w:tcPr>
          <w:p>
            <w:pPr>
              <w:pStyle w:val="934"/>
              <w:jc w:val="center"/>
              <w:rPr>
                <w:sz w:val="24"/>
                <w:szCs w:val="24"/>
              </w:rPr>
            </w:pPr>
            <w:r>
              <w:rPr>
                <w:sz w:val="24"/>
                <w:szCs w:val="24"/>
              </w:rPr>
              <w:t xml:space="preserve">2 275 733  </w:t>
            </w:r>
            <w:r>
              <w:rPr>
                <w:sz w:val="24"/>
                <w:szCs w:val="24"/>
              </w:rPr>
            </w:r>
            <w:r>
              <w:rPr>
                <w:sz w:val="24"/>
                <w:szCs w:val="24"/>
              </w:rPr>
            </w:r>
          </w:p>
        </w:tc>
        <w:tc>
          <w:tcPr>
            <w:tcBorders>
              <w:top w:val="none" w:color="FFFFFF" w:sz="255" w:space="0"/>
              <w:left w:val="none" w:color="FFFFFF" w:sz="255" w:space="0"/>
              <w:bottom w:val="single" w:color="000000" w:sz="4" w:space="0"/>
              <w:right w:val="single" w:color="000000" w:sz="4" w:space="0"/>
            </w:tcBorders>
            <w:tcW w:w="1422" w:type="dxa"/>
            <w:vAlign w:val="center"/>
            <w:textDirection w:val="lrTb"/>
            <w:noWrap w:val="false"/>
          </w:tcPr>
          <w:p>
            <w:pPr>
              <w:pStyle w:val="934"/>
              <w:jc w:val="center"/>
              <w:rPr>
                <w:sz w:val="24"/>
                <w:szCs w:val="24"/>
              </w:rPr>
            </w:pPr>
            <w:r>
              <w:rPr>
                <w:sz w:val="24"/>
                <w:szCs w:val="24"/>
              </w:rPr>
              <w:t xml:space="preserve">98,1</w:t>
            </w:r>
            <w:r>
              <w:rPr>
                <w:sz w:val="24"/>
                <w:szCs w:val="24"/>
              </w:rPr>
            </w:r>
            <w:r>
              <w:rPr>
                <w:sz w:val="24"/>
                <w:szCs w:val="24"/>
              </w:rPr>
            </w:r>
          </w:p>
        </w:tc>
      </w:tr>
      <w:tr>
        <w:tblPrEx/>
        <w:trPr>
          <w:trHeight w:val="301"/>
        </w:trPr>
        <w:tc>
          <w:tcPr>
            <w:tcBorders>
              <w:top w:val="none" w:color="FFFFFF" w:sz="255" w:space="0"/>
              <w:left w:val="single" w:color="000000" w:sz="4" w:space="0"/>
              <w:bottom w:val="single" w:color="000000" w:sz="4" w:space="0"/>
              <w:right w:val="single" w:color="000000" w:sz="4" w:space="0"/>
            </w:tcBorders>
            <w:tcW w:w="540" w:type="dxa"/>
            <w:vAlign w:val="bottom"/>
            <w:textDirection w:val="lrTb"/>
            <w:noWrap/>
          </w:tcPr>
          <w:p>
            <w:pPr>
              <w:pStyle w:val="934"/>
              <w:jc w:val="center"/>
              <w:rPr>
                <w:sz w:val="24"/>
                <w:szCs w:val="24"/>
              </w:rPr>
            </w:pPr>
            <w:r>
              <w:rPr>
                <w:sz w:val="24"/>
                <w:szCs w:val="24"/>
              </w:rPr>
              <w:t xml:space="preserve">6.</w:t>
            </w:r>
            <w:r>
              <w:rPr>
                <w:sz w:val="24"/>
                <w:szCs w:val="24"/>
              </w:rPr>
            </w:r>
            <w:r>
              <w:rPr>
                <w:sz w:val="24"/>
                <w:szCs w:val="24"/>
              </w:rPr>
            </w:r>
          </w:p>
        </w:tc>
        <w:tc>
          <w:tcPr>
            <w:tcBorders>
              <w:top w:val="none" w:color="FFFFFF" w:sz="255" w:space="0"/>
              <w:left w:val="none" w:color="FFFFFF" w:sz="255" w:space="0"/>
              <w:bottom w:val="single" w:color="000000" w:sz="4" w:space="0"/>
              <w:right w:val="single" w:color="000000" w:sz="4" w:space="0"/>
            </w:tcBorders>
            <w:tcW w:w="4011" w:type="dxa"/>
            <w:vAlign w:val="bottom"/>
            <w:textDirection w:val="lrTb"/>
            <w:noWrap w:val="false"/>
          </w:tcPr>
          <w:p>
            <w:pPr>
              <w:pStyle w:val="934"/>
              <w:rPr>
                <w:sz w:val="24"/>
                <w:szCs w:val="24"/>
              </w:rPr>
            </w:pPr>
            <w:r>
              <w:rPr>
                <w:sz w:val="24"/>
                <w:szCs w:val="24"/>
              </w:rPr>
              <w:t xml:space="preserve">Охрана окружающей среды</w:t>
            </w:r>
            <w:r>
              <w:rPr>
                <w:sz w:val="24"/>
                <w:szCs w:val="24"/>
              </w:rPr>
            </w:r>
            <w:r>
              <w:rPr>
                <w:sz w:val="24"/>
                <w:szCs w:val="24"/>
              </w:rPr>
            </w:r>
          </w:p>
        </w:tc>
        <w:tc>
          <w:tcPr>
            <w:tcBorders>
              <w:top w:val="none" w:color="FFFFFF" w:sz="255" w:space="0"/>
              <w:left w:val="none" w:color="FFFFFF" w:sz="255" w:space="0"/>
              <w:bottom w:val="single" w:color="000000" w:sz="4" w:space="0"/>
              <w:right w:val="single" w:color="000000" w:sz="4" w:space="0"/>
            </w:tcBorders>
            <w:tcW w:w="1657" w:type="dxa"/>
            <w:vAlign w:val="bottom"/>
            <w:textDirection w:val="lrTb"/>
            <w:noWrap/>
          </w:tcPr>
          <w:p>
            <w:pPr>
              <w:pStyle w:val="934"/>
              <w:jc w:val="center"/>
              <w:rPr>
                <w:sz w:val="24"/>
                <w:szCs w:val="24"/>
              </w:rPr>
            </w:pPr>
            <w:r>
              <w:rPr>
                <w:sz w:val="24"/>
                <w:szCs w:val="24"/>
              </w:rPr>
              <w:t xml:space="preserve">107 279  </w:t>
            </w:r>
            <w:r>
              <w:rPr>
                <w:sz w:val="24"/>
                <w:szCs w:val="24"/>
              </w:rPr>
            </w:r>
            <w:r>
              <w:rPr>
                <w:sz w:val="24"/>
                <w:szCs w:val="24"/>
              </w:rPr>
            </w:r>
          </w:p>
        </w:tc>
        <w:tc>
          <w:tcPr>
            <w:tcBorders>
              <w:top w:val="none" w:color="FFFFFF" w:sz="255" w:space="0"/>
              <w:left w:val="none" w:color="FFFFFF" w:sz="255" w:space="0"/>
              <w:bottom w:val="single" w:color="000000" w:sz="4" w:space="0"/>
              <w:right w:val="single" w:color="000000" w:sz="4" w:space="0"/>
            </w:tcBorders>
            <w:tcW w:w="1717" w:type="dxa"/>
            <w:vAlign w:val="bottom"/>
            <w:textDirection w:val="lrTb"/>
            <w:noWrap/>
          </w:tcPr>
          <w:p>
            <w:pPr>
              <w:pStyle w:val="934"/>
              <w:jc w:val="center"/>
              <w:rPr>
                <w:sz w:val="24"/>
                <w:szCs w:val="24"/>
              </w:rPr>
            </w:pPr>
            <w:r>
              <w:rPr>
                <w:sz w:val="24"/>
                <w:szCs w:val="24"/>
              </w:rPr>
              <w:t xml:space="preserve">104 225  </w:t>
            </w:r>
            <w:r>
              <w:rPr>
                <w:sz w:val="24"/>
                <w:szCs w:val="24"/>
              </w:rPr>
            </w:r>
            <w:r>
              <w:rPr>
                <w:sz w:val="24"/>
                <w:szCs w:val="24"/>
              </w:rPr>
            </w:r>
          </w:p>
        </w:tc>
        <w:tc>
          <w:tcPr>
            <w:tcBorders>
              <w:top w:val="none" w:color="FFFFFF" w:sz="255" w:space="0"/>
              <w:left w:val="none" w:color="FFFFFF" w:sz="255" w:space="0"/>
              <w:bottom w:val="single" w:color="000000" w:sz="4" w:space="0"/>
              <w:right w:val="single" w:color="000000" w:sz="4" w:space="0"/>
            </w:tcBorders>
            <w:tcW w:w="1422" w:type="dxa"/>
            <w:vAlign w:val="center"/>
            <w:textDirection w:val="lrTb"/>
            <w:noWrap w:val="false"/>
          </w:tcPr>
          <w:p>
            <w:pPr>
              <w:pStyle w:val="934"/>
              <w:jc w:val="center"/>
              <w:rPr>
                <w:sz w:val="24"/>
                <w:szCs w:val="24"/>
              </w:rPr>
            </w:pPr>
            <w:r>
              <w:rPr>
                <w:sz w:val="24"/>
                <w:szCs w:val="24"/>
              </w:rPr>
              <w:t xml:space="preserve">97,2</w:t>
            </w:r>
            <w:r>
              <w:rPr>
                <w:sz w:val="24"/>
                <w:szCs w:val="24"/>
              </w:rPr>
            </w:r>
            <w:r>
              <w:rPr>
                <w:sz w:val="24"/>
                <w:szCs w:val="24"/>
              </w:rPr>
            </w:r>
          </w:p>
        </w:tc>
      </w:tr>
      <w:tr>
        <w:tblPrEx/>
        <w:trPr>
          <w:trHeight w:val="301"/>
        </w:trPr>
        <w:tc>
          <w:tcPr>
            <w:tcBorders>
              <w:top w:val="none" w:color="FFFFFF" w:sz="255" w:space="0"/>
              <w:left w:val="single" w:color="000000" w:sz="4" w:space="0"/>
              <w:bottom w:val="single" w:color="000000" w:sz="4" w:space="0"/>
              <w:right w:val="single" w:color="000000" w:sz="4" w:space="0"/>
            </w:tcBorders>
            <w:tcW w:w="540" w:type="dxa"/>
            <w:vAlign w:val="bottom"/>
            <w:textDirection w:val="lrTb"/>
            <w:noWrap/>
          </w:tcPr>
          <w:p>
            <w:pPr>
              <w:pStyle w:val="934"/>
              <w:jc w:val="center"/>
              <w:rPr>
                <w:sz w:val="24"/>
                <w:szCs w:val="24"/>
              </w:rPr>
            </w:pPr>
            <w:r>
              <w:rPr>
                <w:sz w:val="24"/>
                <w:szCs w:val="24"/>
              </w:rPr>
              <w:t xml:space="preserve">7.</w:t>
            </w:r>
            <w:r>
              <w:rPr>
                <w:sz w:val="24"/>
                <w:szCs w:val="24"/>
              </w:rPr>
            </w:r>
            <w:r>
              <w:rPr>
                <w:sz w:val="24"/>
                <w:szCs w:val="24"/>
              </w:rPr>
            </w:r>
          </w:p>
        </w:tc>
        <w:tc>
          <w:tcPr>
            <w:tcBorders>
              <w:top w:val="none" w:color="FFFFFF" w:sz="255" w:space="0"/>
              <w:left w:val="none" w:color="FFFFFF" w:sz="255" w:space="0"/>
              <w:bottom w:val="single" w:color="000000" w:sz="4" w:space="0"/>
              <w:right w:val="single" w:color="000000" w:sz="4" w:space="0"/>
            </w:tcBorders>
            <w:tcW w:w="4011" w:type="dxa"/>
            <w:vAlign w:val="bottom"/>
            <w:textDirection w:val="lrTb"/>
            <w:noWrap w:val="false"/>
          </w:tcPr>
          <w:p>
            <w:pPr>
              <w:pStyle w:val="934"/>
              <w:rPr>
                <w:sz w:val="24"/>
                <w:szCs w:val="24"/>
              </w:rPr>
            </w:pPr>
            <w:r>
              <w:rPr>
                <w:sz w:val="24"/>
                <w:szCs w:val="24"/>
              </w:rPr>
              <w:t xml:space="preserve">Образование</w:t>
            </w:r>
            <w:r>
              <w:rPr>
                <w:sz w:val="24"/>
                <w:szCs w:val="24"/>
              </w:rPr>
            </w:r>
            <w:r>
              <w:rPr>
                <w:sz w:val="24"/>
                <w:szCs w:val="24"/>
              </w:rPr>
            </w:r>
          </w:p>
        </w:tc>
        <w:tc>
          <w:tcPr>
            <w:tcBorders>
              <w:top w:val="none" w:color="FFFFFF" w:sz="255" w:space="0"/>
              <w:left w:val="none" w:color="FFFFFF" w:sz="255" w:space="0"/>
              <w:bottom w:val="single" w:color="000000" w:sz="4" w:space="0"/>
              <w:right w:val="single" w:color="000000" w:sz="4" w:space="0"/>
            </w:tcBorders>
            <w:tcW w:w="1657" w:type="dxa"/>
            <w:vAlign w:val="bottom"/>
            <w:textDirection w:val="lrTb"/>
            <w:noWrap/>
          </w:tcPr>
          <w:p>
            <w:pPr>
              <w:pStyle w:val="934"/>
              <w:jc w:val="center"/>
              <w:rPr>
                <w:sz w:val="24"/>
                <w:szCs w:val="24"/>
              </w:rPr>
            </w:pPr>
            <w:r>
              <w:rPr>
                <w:sz w:val="24"/>
                <w:szCs w:val="24"/>
              </w:rPr>
              <w:t xml:space="preserve">2 353 231  </w:t>
            </w:r>
            <w:r>
              <w:rPr>
                <w:sz w:val="24"/>
                <w:szCs w:val="24"/>
              </w:rPr>
            </w:r>
            <w:r>
              <w:rPr>
                <w:sz w:val="24"/>
                <w:szCs w:val="24"/>
              </w:rPr>
            </w:r>
          </w:p>
        </w:tc>
        <w:tc>
          <w:tcPr>
            <w:tcBorders>
              <w:top w:val="none" w:color="FFFFFF" w:sz="255" w:space="0"/>
              <w:left w:val="none" w:color="FFFFFF" w:sz="255" w:space="0"/>
              <w:bottom w:val="single" w:color="000000" w:sz="4" w:space="0"/>
              <w:right w:val="single" w:color="000000" w:sz="4" w:space="0"/>
            </w:tcBorders>
            <w:tcW w:w="1717" w:type="dxa"/>
            <w:vAlign w:val="bottom"/>
            <w:textDirection w:val="lrTb"/>
            <w:noWrap/>
          </w:tcPr>
          <w:p>
            <w:pPr>
              <w:pStyle w:val="934"/>
              <w:jc w:val="center"/>
              <w:rPr>
                <w:sz w:val="24"/>
                <w:szCs w:val="24"/>
              </w:rPr>
            </w:pPr>
            <w:r>
              <w:rPr>
                <w:sz w:val="24"/>
                <w:szCs w:val="24"/>
              </w:rPr>
              <w:t xml:space="preserve">2 319 166  </w:t>
            </w:r>
            <w:r>
              <w:rPr>
                <w:sz w:val="24"/>
                <w:szCs w:val="24"/>
              </w:rPr>
            </w:r>
            <w:r>
              <w:rPr>
                <w:sz w:val="24"/>
                <w:szCs w:val="24"/>
              </w:rPr>
            </w:r>
          </w:p>
        </w:tc>
        <w:tc>
          <w:tcPr>
            <w:tcBorders>
              <w:top w:val="none" w:color="FFFFFF" w:sz="255" w:space="0"/>
              <w:left w:val="none" w:color="FFFFFF" w:sz="255" w:space="0"/>
              <w:bottom w:val="single" w:color="000000" w:sz="4" w:space="0"/>
              <w:right w:val="single" w:color="000000" w:sz="4" w:space="0"/>
            </w:tcBorders>
            <w:tcW w:w="1422" w:type="dxa"/>
            <w:vAlign w:val="center"/>
            <w:textDirection w:val="lrTb"/>
            <w:noWrap w:val="false"/>
          </w:tcPr>
          <w:p>
            <w:pPr>
              <w:pStyle w:val="934"/>
              <w:jc w:val="center"/>
              <w:rPr>
                <w:sz w:val="24"/>
                <w:szCs w:val="24"/>
              </w:rPr>
            </w:pPr>
            <w:r>
              <w:rPr>
                <w:sz w:val="24"/>
                <w:szCs w:val="24"/>
              </w:rPr>
              <w:t xml:space="preserve">98,6</w:t>
            </w:r>
            <w:r>
              <w:rPr>
                <w:sz w:val="24"/>
                <w:szCs w:val="24"/>
              </w:rPr>
            </w:r>
            <w:r>
              <w:rPr>
                <w:sz w:val="24"/>
                <w:szCs w:val="24"/>
              </w:rPr>
            </w:r>
          </w:p>
        </w:tc>
      </w:tr>
      <w:tr>
        <w:tblPrEx/>
        <w:trPr>
          <w:trHeight w:val="301"/>
        </w:trPr>
        <w:tc>
          <w:tcPr>
            <w:tcBorders>
              <w:top w:val="none" w:color="FFFFFF" w:sz="255" w:space="0"/>
              <w:left w:val="single" w:color="000000" w:sz="4" w:space="0"/>
              <w:bottom w:val="single" w:color="000000" w:sz="4" w:space="0"/>
              <w:right w:val="single" w:color="000000" w:sz="4" w:space="0"/>
            </w:tcBorders>
            <w:tcW w:w="540" w:type="dxa"/>
            <w:vAlign w:val="bottom"/>
            <w:textDirection w:val="lrTb"/>
            <w:noWrap/>
          </w:tcPr>
          <w:p>
            <w:pPr>
              <w:pStyle w:val="934"/>
              <w:jc w:val="center"/>
              <w:rPr>
                <w:sz w:val="24"/>
                <w:szCs w:val="24"/>
              </w:rPr>
            </w:pPr>
            <w:r>
              <w:rPr>
                <w:sz w:val="24"/>
                <w:szCs w:val="24"/>
              </w:rPr>
              <w:t xml:space="preserve">8.</w:t>
            </w:r>
            <w:r>
              <w:rPr>
                <w:sz w:val="24"/>
                <w:szCs w:val="24"/>
              </w:rPr>
            </w:r>
            <w:r>
              <w:rPr>
                <w:sz w:val="24"/>
                <w:szCs w:val="24"/>
              </w:rPr>
            </w:r>
          </w:p>
        </w:tc>
        <w:tc>
          <w:tcPr>
            <w:tcBorders>
              <w:top w:val="none" w:color="FFFFFF" w:sz="255" w:space="0"/>
              <w:left w:val="none" w:color="FFFFFF" w:sz="255" w:space="0"/>
              <w:bottom w:val="single" w:color="000000" w:sz="4" w:space="0"/>
              <w:right w:val="single" w:color="000000" w:sz="4" w:space="0"/>
            </w:tcBorders>
            <w:tcW w:w="4011" w:type="dxa"/>
            <w:vAlign w:val="bottom"/>
            <w:textDirection w:val="lrTb"/>
            <w:noWrap w:val="false"/>
          </w:tcPr>
          <w:p>
            <w:pPr>
              <w:pStyle w:val="934"/>
              <w:rPr>
                <w:sz w:val="24"/>
                <w:szCs w:val="24"/>
              </w:rPr>
            </w:pPr>
            <w:r>
              <w:rPr>
                <w:sz w:val="24"/>
                <w:szCs w:val="24"/>
              </w:rPr>
              <w:t xml:space="preserve">Культура, кинематография</w:t>
            </w:r>
            <w:r>
              <w:rPr>
                <w:sz w:val="24"/>
                <w:szCs w:val="24"/>
              </w:rPr>
            </w:r>
            <w:r>
              <w:rPr>
                <w:sz w:val="24"/>
                <w:szCs w:val="24"/>
              </w:rPr>
            </w:r>
          </w:p>
        </w:tc>
        <w:tc>
          <w:tcPr>
            <w:tcBorders>
              <w:top w:val="none" w:color="FFFFFF" w:sz="255" w:space="0"/>
              <w:left w:val="none" w:color="FFFFFF" w:sz="255" w:space="0"/>
              <w:bottom w:val="single" w:color="000000" w:sz="4" w:space="0"/>
              <w:right w:val="single" w:color="000000" w:sz="4" w:space="0"/>
            </w:tcBorders>
            <w:tcW w:w="1657" w:type="dxa"/>
            <w:vAlign w:val="bottom"/>
            <w:textDirection w:val="lrTb"/>
            <w:noWrap/>
          </w:tcPr>
          <w:p>
            <w:pPr>
              <w:pStyle w:val="934"/>
              <w:jc w:val="center"/>
              <w:rPr>
                <w:sz w:val="24"/>
                <w:szCs w:val="24"/>
              </w:rPr>
            </w:pPr>
            <w:r>
              <w:rPr>
                <w:sz w:val="24"/>
                <w:szCs w:val="24"/>
              </w:rPr>
              <w:t xml:space="preserve">286 080  </w:t>
            </w:r>
            <w:r>
              <w:rPr>
                <w:sz w:val="24"/>
                <w:szCs w:val="24"/>
              </w:rPr>
            </w:r>
            <w:r>
              <w:rPr>
                <w:sz w:val="24"/>
                <w:szCs w:val="24"/>
              </w:rPr>
            </w:r>
          </w:p>
        </w:tc>
        <w:tc>
          <w:tcPr>
            <w:tcBorders>
              <w:top w:val="none" w:color="FFFFFF" w:sz="255" w:space="0"/>
              <w:left w:val="none" w:color="FFFFFF" w:sz="255" w:space="0"/>
              <w:bottom w:val="single" w:color="000000" w:sz="4" w:space="0"/>
              <w:right w:val="single" w:color="000000" w:sz="4" w:space="0"/>
            </w:tcBorders>
            <w:tcW w:w="1717" w:type="dxa"/>
            <w:vAlign w:val="bottom"/>
            <w:textDirection w:val="lrTb"/>
            <w:noWrap/>
          </w:tcPr>
          <w:p>
            <w:pPr>
              <w:pStyle w:val="934"/>
              <w:jc w:val="center"/>
              <w:rPr>
                <w:sz w:val="24"/>
                <w:szCs w:val="24"/>
              </w:rPr>
            </w:pPr>
            <w:r>
              <w:rPr>
                <w:sz w:val="24"/>
                <w:szCs w:val="24"/>
              </w:rPr>
              <w:t xml:space="preserve">285 795  </w:t>
            </w:r>
            <w:r>
              <w:rPr>
                <w:sz w:val="24"/>
                <w:szCs w:val="24"/>
              </w:rPr>
            </w:r>
            <w:r>
              <w:rPr>
                <w:sz w:val="24"/>
                <w:szCs w:val="24"/>
              </w:rPr>
            </w:r>
          </w:p>
        </w:tc>
        <w:tc>
          <w:tcPr>
            <w:tcBorders>
              <w:top w:val="none" w:color="FFFFFF" w:sz="255" w:space="0"/>
              <w:left w:val="none" w:color="FFFFFF" w:sz="255" w:space="0"/>
              <w:bottom w:val="single" w:color="000000" w:sz="4" w:space="0"/>
              <w:right w:val="single" w:color="000000" w:sz="4" w:space="0"/>
            </w:tcBorders>
            <w:tcW w:w="1422" w:type="dxa"/>
            <w:vAlign w:val="center"/>
            <w:textDirection w:val="lrTb"/>
            <w:noWrap w:val="false"/>
          </w:tcPr>
          <w:p>
            <w:pPr>
              <w:pStyle w:val="934"/>
              <w:jc w:val="center"/>
              <w:rPr>
                <w:sz w:val="24"/>
                <w:szCs w:val="24"/>
              </w:rPr>
            </w:pPr>
            <w:r>
              <w:rPr>
                <w:sz w:val="24"/>
                <w:szCs w:val="24"/>
              </w:rPr>
              <w:t xml:space="preserve">99,9</w:t>
            </w:r>
            <w:r>
              <w:rPr>
                <w:sz w:val="24"/>
                <w:szCs w:val="24"/>
              </w:rPr>
            </w:r>
            <w:r>
              <w:rPr>
                <w:sz w:val="24"/>
                <w:szCs w:val="24"/>
              </w:rPr>
            </w:r>
          </w:p>
        </w:tc>
      </w:tr>
      <w:tr>
        <w:tblPrEx/>
        <w:trPr>
          <w:trHeight w:val="301"/>
        </w:trPr>
        <w:tc>
          <w:tcPr>
            <w:tcBorders>
              <w:top w:val="none" w:color="FFFFFF" w:sz="255" w:space="0"/>
              <w:left w:val="single" w:color="000000" w:sz="4" w:space="0"/>
              <w:bottom w:val="single" w:color="000000" w:sz="4" w:space="0"/>
              <w:right w:val="single" w:color="000000" w:sz="4" w:space="0"/>
            </w:tcBorders>
            <w:tcW w:w="540" w:type="dxa"/>
            <w:vAlign w:val="bottom"/>
            <w:textDirection w:val="lrTb"/>
            <w:noWrap/>
          </w:tcPr>
          <w:p>
            <w:pPr>
              <w:pStyle w:val="934"/>
              <w:jc w:val="center"/>
              <w:rPr>
                <w:sz w:val="24"/>
                <w:szCs w:val="24"/>
              </w:rPr>
            </w:pPr>
            <w:r>
              <w:rPr>
                <w:sz w:val="24"/>
                <w:szCs w:val="24"/>
              </w:rPr>
              <w:t xml:space="preserve">9.</w:t>
            </w:r>
            <w:r>
              <w:rPr>
                <w:sz w:val="24"/>
                <w:szCs w:val="24"/>
              </w:rPr>
            </w:r>
            <w:r>
              <w:rPr>
                <w:sz w:val="24"/>
                <w:szCs w:val="24"/>
              </w:rPr>
            </w:r>
          </w:p>
        </w:tc>
        <w:tc>
          <w:tcPr>
            <w:tcBorders>
              <w:top w:val="none" w:color="FFFFFF" w:sz="255" w:space="0"/>
              <w:left w:val="none" w:color="FFFFFF" w:sz="255" w:space="0"/>
              <w:bottom w:val="single" w:color="000000" w:sz="4" w:space="0"/>
              <w:right w:val="single" w:color="000000" w:sz="4" w:space="0"/>
            </w:tcBorders>
            <w:tcW w:w="4011" w:type="dxa"/>
            <w:vAlign w:val="bottom"/>
            <w:textDirection w:val="lrTb"/>
            <w:noWrap w:val="false"/>
          </w:tcPr>
          <w:p>
            <w:pPr>
              <w:pStyle w:val="934"/>
              <w:rPr>
                <w:sz w:val="24"/>
                <w:szCs w:val="24"/>
              </w:rPr>
            </w:pPr>
            <w:r>
              <w:rPr>
                <w:sz w:val="24"/>
                <w:szCs w:val="24"/>
              </w:rPr>
              <w:t xml:space="preserve">Здравоохранение</w:t>
            </w:r>
            <w:r>
              <w:rPr>
                <w:sz w:val="24"/>
                <w:szCs w:val="24"/>
              </w:rPr>
            </w:r>
            <w:r>
              <w:rPr>
                <w:sz w:val="24"/>
                <w:szCs w:val="24"/>
              </w:rPr>
            </w:r>
          </w:p>
        </w:tc>
        <w:tc>
          <w:tcPr>
            <w:tcBorders>
              <w:top w:val="none" w:color="FFFFFF" w:sz="255" w:space="0"/>
              <w:left w:val="none" w:color="FFFFFF" w:sz="255" w:space="0"/>
              <w:bottom w:val="single" w:color="000000" w:sz="4" w:space="0"/>
              <w:right w:val="single" w:color="000000" w:sz="4" w:space="0"/>
            </w:tcBorders>
            <w:tcW w:w="1657" w:type="dxa"/>
            <w:vAlign w:val="bottom"/>
            <w:textDirection w:val="lrTb"/>
            <w:noWrap/>
          </w:tcPr>
          <w:p>
            <w:pPr>
              <w:pStyle w:val="934"/>
              <w:jc w:val="center"/>
              <w:rPr>
                <w:sz w:val="24"/>
                <w:szCs w:val="24"/>
              </w:rPr>
            </w:pPr>
            <w:r>
              <w:rPr>
                <w:sz w:val="24"/>
                <w:szCs w:val="24"/>
              </w:rPr>
              <w:t xml:space="preserve">605  </w:t>
            </w:r>
            <w:r>
              <w:rPr>
                <w:sz w:val="24"/>
                <w:szCs w:val="24"/>
              </w:rPr>
            </w:r>
            <w:r>
              <w:rPr>
                <w:sz w:val="24"/>
                <w:szCs w:val="24"/>
              </w:rPr>
            </w:r>
          </w:p>
        </w:tc>
        <w:tc>
          <w:tcPr>
            <w:tcBorders>
              <w:top w:val="none" w:color="FFFFFF" w:sz="255" w:space="0"/>
              <w:left w:val="none" w:color="FFFFFF" w:sz="255" w:space="0"/>
              <w:bottom w:val="single" w:color="000000" w:sz="4" w:space="0"/>
              <w:right w:val="single" w:color="000000" w:sz="4" w:space="0"/>
            </w:tcBorders>
            <w:tcW w:w="1717" w:type="dxa"/>
            <w:vAlign w:val="bottom"/>
            <w:textDirection w:val="lrTb"/>
            <w:noWrap/>
          </w:tcPr>
          <w:p>
            <w:pPr>
              <w:pStyle w:val="934"/>
              <w:jc w:val="center"/>
              <w:rPr>
                <w:sz w:val="24"/>
                <w:szCs w:val="24"/>
              </w:rPr>
            </w:pPr>
            <w:r>
              <w:rPr>
                <w:sz w:val="24"/>
                <w:szCs w:val="24"/>
              </w:rPr>
              <w:t xml:space="preserve">605  </w:t>
            </w:r>
            <w:r>
              <w:rPr>
                <w:sz w:val="24"/>
                <w:szCs w:val="24"/>
              </w:rPr>
            </w:r>
            <w:r>
              <w:rPr>
                <w:sz w:val="24"/>
                <w:szCs w:val="24"/>
              </w:rPr>
            </w:r>
          </w:p>
        </w:tc>
        <w:tc>
          <w:tcPr>
            <w:tcBorders>
              <w:top w:val="none" w:color="FFFFFF" w:sz="255" w:space="0"/>
              <w:left w:val="none" w:color="FFFFFF" w:sz="255" w:space="0"/>
              <w:bottom w:val="single" w:color="000000" w:sz="4" w:space="0"/>
              <w:right w:val="single" w:color="000000" w:sz="4" w:space="0"/>
            </w:tcBorders>
            <w:tcW w:w="1422" w:type="dxa"/>
            <w:vAlign w:val="center"/>
            <w:textDirection w:val="lrTb"/>
            <w:noWrap w:val="false"/>
          </w:tcPr>
          <w:p>
            <w:pPr>
              <w:pStyle w:val="934"/>
              <w:jc w:val="center"/>
              <w:rPr>
                <w:sz w:val="24"/>
                <w:szCs w:val="24"/>
              </w:rPr>
            </w:pPr>
            <w:r>
              <w:rPr>
                <w:sz w:val="24"/>
                <w:szCs w:val="24"/>
              </w:rPr>
              <w:t xml:space="preserve">100,0</w:t>
            </w:r>
            <w:r>
              <w:rPr>
                <w:sz w:val="24"/>
                <w:szCs w:val="24"/>
              </w:rPr>
            </w:r>
            <w:r>
              <w:rPr>
                <w:sz w:val="24"/>
                <w:szCs w:val="24"/>
              </w:rPr>
            </w:r>
          </w:p>
        </w:tc>
      </w:tr>
      <w:tr>
        <w:tblPrEx/>
        <w:trPr>
          <w:trHeight w:val="301"/>
        </w:trPr>
        <w:tc>
          <w:tcPr>
            <w:tcBorders>
              <w:top w:val="none" w:color="FFFFFF" w:sz="255" w:space="0"/>
              <w:left w:val="single" w:color="000000" w:sz="4" w:space="0"/>
              <w:bottom w:val="single" w:color="000000" w:sz="4" w:space="0"/>
              <w:right w:val="single" w:color="000000" w:sz="4" w:space="0"/>
            </w:tcBorders>
            <w:tcW w:w="540" w:type="dxa"/>
            <w:vAlign w:val="bottom"/>
            <w:textDirection w:val="lrTb"/>
            <w:noWrap/>
          </w:tcPr>
          <w:p>
            <w:pPr>
              <w:pStyle w:val="934"/>
              <w:jc w:val="center"/>
              <w:rPr>
                <w:sz w:val="24"/>
                <w:szCs w:val="24"/>
              </w:rPr>
            </w:pPr>
            <w:r>
              <w:rPr>
                <w:sz w:val="24"/>
                <w:szCs w:val="24"/>
              </w:rPr>
              <w:t xml:space="preserve">10.</w:t>
            </w:r>
            <w:r>
              <w:rPr>
                <w:sz w:val="24"/>
                <w:szCs w:val="24"/>
              </w:rPr>
            </w:r>
            <w:r>
              <w:rPr>
                <w:sz w:val="24"/>
                <w:szCs w:val="24"/>
              </w:rPr>
            </w:r>
          </w:p>
        </w:tc>
        <w:tc>
          <w:tcPr>
            <w:tcBorders>
              <w:top w:val="none" w:color="FFFFFF" w:sz="255" w:space="0"/>
              <w:left w:val="none" w:color="FFFFFF" w:sz="255" w:space="0"/>
              <w:bottom w:val="single" w:color="000000" w:sz="4" w:space="0"/>
              <w:right w:val="single" w:color="000000" w:sz="4" w:space="0"/>
            </w:tcBorders>
            <w:tcW w:w="4011" w:type="dxa"/>
            <w:vAlign w:val="bottom"/>
            <w:textDirection w:val="lrTb"/>
            <w:noWrap/>
          </w:tcPr>
          <w:p>
            <w:pPr>
              <w:pStyle w:val="934"/>
              <w:rPr>
                <w:sz w:val="24"/>
                <w:szCs w:val="24"/>
              </w:rPr>
            </w:pPr>
            <w:r>
              <w:rPr>
                <w:sz w:val="24"/>
                <w:szCs w:val="24"/>
              </w:rPr>
              <w:t xml:space="preserve">Социальная политика</w:t>
            </w:r>
            <w:r>
              <w:rPr>
                <w:sz w:val="24"/>
                <w:szCs w:val="24"/>
              </w:rPr>
            </w:r>
            <w:r>
              <w:rPr>
                <w:sz w:val="24"/>
                <w:szCs w:val="24"/>
              </w:rPr>
            </w:r>
          </w:p>
        </w:tc>
        <w:tc>
          <w:tcPr>
            <w:tcBorders>
              <w:top w:val="none" w:color="FFFFFF" w:sz="255" w:space="0"/>
              <w:left w:val="none" w:color="FFFFFF" w:sz="255" w:space="0"/>
              <w:bottom w:val="single" w:color="000000" w:sz="4" w:space="0"/>
              <w:right w:val="single" w:color="000000" w:sz="4" w:space="0"/>
            </w:tcBorders>
            <w:tcW w:w="1657" w:type="dxa"/>
            <w:vAlign w:val="bottom"/>
            <w:textDirection w:val="lrTb"/>
            <w:noWrap/>
          </w:tcPr>
          <w:p>
            <w:pPr>
              <w:pStyle w:val="934"/>
              <w:jc w:val="center"/>
              <w:rPr>
                <w:sz w:val="24"/>
                <w:szCs w:val="24"/>
              </w:rPr>
            </w:pPr>
            <w:r>
              <w:rPr>
                <w:sz w:val="24"/>
                <w:szCs w:val="24"/>
              </w:rPr>
              <w:t xml:space="preserve">52 651  </w:t>
            </w:r>
            <w:r>
              <w:rPr>
                <w:sz w:val="24"/>
                <w:szCs w:val="24"/>
              </w:rPr>
            </w:r>
            <w:r>
              <w:rPr>
                <w:sz w:val="24"/>
                <w:szCs w:val="24"/>
              </w:rPr>
            </w:r>
          </w:p>
        </w:tc>
        <w:tc>
          <w:tcPr>
            <w:tcBorders>
              <w:top w:val="none" w:color="FFFFFF" w:sz="255" w:space="0"/>
              <w:left w:val="none" w:color="FFFFFF" w:sz="255" w:space="0"/>
              <w:bottom w:val="single" w:color="000000" w:sz="4" w:space="0"/>
              <w:right w:val="single" w:color="000000" w:sz="4" w:space="0"/>
            </w:tcBorders>
            <w:tcW w:w="1717" w:type="dxa"/>
            <w:vAlign w:val="bottom"/>
            <w:textDirection w:val="lrTb"/>
            <w:noWrap/>
          </w:tcPr>
          <w:p>
            <w:pPr>
              <w:pStyle w:val="934"/>
              <w:jc w:val="center"/>
              <w:rPr>
                <w:sz w:val="24"/>
                <w:szCs w:val="24"/>
              </w:rPr>
            </w:pPr>
            <w:r>
              <w:rPr>
                <w:sz w:val="24"/>
                <w:szCs w:val="24"/>
              </w:rPr>
              <w:t xml:space="preserve">52 190  </w:t>
            </w:r>
            <w:r>
              <w:rPr>
                <w:sz w:val="24"/>
                <w:szCs w:val="24"/>
              </w:rPr>
            </w:r>
            <w:r>
              <w:rPr>
                <w:sz w:val="24"/>
                <w:szCs w:val="24"/>
              </w:rPr>
            </w:r>
          </w:p>
        </w:tc>
        <w:tc>
          <w:tcPr>
            <w:tcBorders>
              <w:top w:val="none" w:color="FFFFFF" w:sz="255" w:space="0"/>
              <w:left w:val="none" w:color="FFFFFF" w:sz="255" w:space="0"/>
              <w:bottom w:val="single" w:color="000000" w:sz="4" w:space="0"/>
              <w:right w:val="single" w:color="000000" w:sz="4" w:space="0"/>
            </w:tcBorders>
            <w:tcW w:w="1422" w:type="dxa"/>
            <w:vAlign w:val="center"/>
            <w:textDirection w:val="lrTb"/>
            <w:noWrap w:val="false"/>
          </w:tcPr>
          <w:p>
            <w:pPr>
              <w:pStyle w:val="934"/>
              <w:jc w:val="center"/>
              <w:rPr>
                <w:sz w:val="24"/>
                <w:szCs w:val="24"/>
              </w:rPr>
            </w:pPr>
            <w:r>
              <w:rPr>
                <w:sz w:val="24"/>
                <w:szCs w:val="24"/>
              </w:rPr>
              <w:t xml:space="preserve">99,1</w:t>
            </w:r>
            <w:r>
              <w:rPr>
                <w:sz w:val="24"/>
                <w:szCs w:val="24"/>
              </w:rPr>
            </w:r>
            <w:r>
              <w:rPr>
                <w:sz w:val="24"/>
                <w:szCs w:val="24"/>
              </w:rPr>
            </w:r>
          </w:p>
        </w:tc>
      </w:tr>
      <w:tr>
        <w:tblPrEx/>
        <w:trPr>
          <w:trHeight w:val="301"/>
        </w:trPr>
        <w:tc>
          <w:tcPr>
            <w:tcBorders>
              <w:top w:val="none" w:color="FFFFFF" w:sz="255" w:space="0"/>
              <w:left w:val="single" w:color="000000" w:sz="4" w:space="0"/>
              <w:bottom w:val="single" w:color="000000" w:sz="4" w:space="0"/>
              <w:right w:val="single" w:color="000000" w:sz="4" w:space="0"/>
            </w:tcBorders>
            <w:tcW w:w="540" w:type="dxa"/>
            <w:vAlign w:val="bottom"/>
            <w:textDirection w:val="lrTb"/>
            <w:noWrap/>
          </w:tcPr>
          <w:p>
            <w:pPr>
              <w:pStyle w:val="934"/>
              <w:jc w:val="center"/>
              <w:rPr>
                <w:sz w:val="24"/>
                <w:szCs w:val="24"/>
              </w:rPr>
            </w:pPr>
            <w:r>
              <w:rPr>
                <w:sz w:val="24"/>
                <w:szCs w:val="24"/>
              </w:rPr>
              <w:t xml:space="preserve">11.</w:t>
            </w:r>
            <w:r>
              <w:rPr>
                <w:sz w:val="24"/>
                <w:szCs w:val="24"/>
              </w:rPr>
            </w:r>
            <w:r>
              <w:rPr>
                <w:sz w:val="24"/>
                <w:szCs w:val="24"/>
              </w:rPr>
            </w:r>
          </w:p>
        </w:tc>
        <w:tc>
          <w:tcPr>
            <w:tcBorders>
              <w:top w:val="none" w:color="FFFFFF" w:sz="255" w:space="0"/>
              <w:left w:val="none" w:color="FFFFFF" w:sz="255" w:space="0"/>
              <w:bottom w:val="single" w:color="000000" w:sz="4" w:space="0"/>
              <w:right w:val="single" w:color="000000" w:sz="4" w:space="0"/>
            </w:tcBorders>
            <w:tcW w:w="4011" w:type="dxa"/>
            <w:vAlign w:val="bottom"/>
            <w:textDirection w:val="lrTb"/>
            <w:noWrap/>
          </w:tcPr>
          <w:p>
            <w:pPr>
              <w:pStyle w:val="934"/>
              <w:rPr>
                <w:sz w:val="24"/>
                <w:szCs w:val="24"/>
              </w:rPr>
            </w:pPr>
            <w:r>
              <w:rPr>
                <w:sz w:val="24"/>
                <w:szCs w:val="24"/>
              </w:rPr>
              <w:t xml:space="preserve">Физическая культура и спорт</w:t>
            </w:r>
            <w:r>
              <w:rPr>
                <w:sz w:val="24"/>
                <w:szCs w:val="24"/>
              </w:rPr>
            </w:r>
            <w:r>
              <w:rPr>
                <w:sz w:val="24"/>
                <w:szCs w:val="24"/>
              </w:rPr>
            </w:r>
          </w:p>
        </w:tc>
        <w:tc>
          <w:tcPr>
            <w:tcBorders>
              <w:top w:val="none" w:color="FFFFFF" w:sz="255" w:space="0"/>
              <w:left w:val="none" w:color="FFFFFF" w:sz="255" w:space="0"/>
              <w:bottom w:val="single" w:color="000000" w:sz="4" w:space="0"/>
              <w:right w:val="single" w:color="000000" w:sz="4" w:space="0"/>
            </w:tcBorders>
            <w:tcW w:w="1657" w:type="dxa"/>
            <w:vAlign w:val="bottom"/>
            <w:textDirection w:val="lrTb"/>
            <w:noWrap/>
          </w:tcPr>
          <w:p>
            <w:pPr>
              <w:pStyle w:val="934"/>
              <w:jc w:val="center"/>
              <w:rPr>
                <w:sz w:val="24"/>
                <w:szCs w:val="24"/>
              </w:rPr>
            </w:pPr>
            <w:r>
              <w:rPr>
                <w:sz w:val="24"/>
                <w:szCs w:val="24"/>
              </w:rPr>
              <w:t xml:space="preserve">165 627  </w:t>
            </w:r>
            <w:r>
              <w:rPr>
                <w:sz w:val="24"/>
                <w:szCs w:val="24"/>
              </w:rPr>
            </w:r>
            <w:r>
              <w:rPr>
                <w:sz w:val="24"/>
                <w:szCs w:val="24"/>
              </w:rPr>
            </w:r>
          </w:p>
        </w:tc>
        <w:tc>
          <w:tcPr>
            <w:tcBorders>
              <w:top w:val="none" w:color="FFFFFF" w:sz="255" w:space="0"/>
              <w:left w:val="none" w:color="FFFFFF" w:sz="255" w:space="0"/>
              <w:bottom w:val="single" w:color="000000" w:sz="4" w:space="0"/>
              <w:right w:val="single" w:color="000000" w:sz="4" w:space="0"/>
            </w:tcBorders>
            <w:tcW w:w="1717" w:type="dxa"/>
            <w:vAlign w:val="bottom"/>
            <w:textDirection w:val="lrTb"/>
            <w:noWrap/>
          </w:tcPr>
          <w:p>
            <w:pPr>
              <w:pStyle w:val="934"/>
              <w:jc w:val="center"/>
              <w:rPr>
                <w:sz w:val="24"/>
                <w:szCs w:val="24"/>
              </w:rPr>
            </w:pPr>
            <w:r>
              <w:rPr>
                <w:sz w:val="24"/>
                <w:szCs w:val="24"/>
              </w:rPr>
              <w:t xml:space="preserve">164 932  </w:t>
            </w:r>
            <w:r>
              <w:rPr>
                <w:sz w:val="24"/>
                <w:szCs w:val="24"/>
              </w:rPr>
            </w:r>
            <w:r>
              <w:rPr>
                <w:sz w:val="24"/>
                <w:szCs w:val="24"/>
              </w:rPr>
            </w:r>
          </w:p>
        </w:tc>
        <w:tc>
          <w:tcPr>
            <w:tcBorders>
              <w:top w:val="none" w:color="FFFFFF" w:sz="255" w:space="0"/>
              <w:left w:val="none" w:color="FFFFFF" w:sz="255" w:space="0"/>
              <w:bottom w:val="single" w:color="000000" w:sz="4" w:space="0"/>
              <w:right w:val="single" w:color="000000" w:sz="4" w:space="0"/>
            </w:tcBorders>
            <w:tcW w:w="1422" w:type="dxa"/>
            <w:vAlign w:val="center"/>
            <w:textDirection w:val="lrTb"/>
            <w:noWrap w:val="false"/>
          </w:tcPr>
          <w:p>
            <w:pPr>
              <w:pStyle w:val="934"/>
              <w:jc w:val="center"/>
              <w:rPr>
                <w:sz w:val="24"/>
                <w:szCs w:val="24"/>
              </w:rPr>
            </w:pPr>
            <w:r>
              <w:rPr>
                <w:sz w:val="24"/>
                <w:szCs w:val="24"/>
              </w:rPr>
              <w:t xml:space="preserve">99,6</w:t>
            </w:r>
            <w:r>
              <w:rPr>
                <w:sz w:val="24"/>
                <w:szCs w:val="24"/>
              </w:rPr>
            </w:r>
            <w:r>
              <w:rPr>
                <w:sz w:val="24"/>
                <w:szCs w:val="24"/>
              </w:rPr>
            </w:r>
          </w:p>
        </w:tc>
      </w:tr>
      <w:tr>
        <w:tblPrEx/>
        <w:trPr>
          <w:trHeight w:val="301"/>
        </w:trPr>
        <w:tc>
          <w:tcPr>
            <w:tcBorders>
              <w:top w:val="none" w:color="FFFFFF" w:sz="255" w:space="0"/>
              <w:left w:val="single" w:color="000000" w:sz="4" w:space="0"/>
              <w:bottom w:val="single" w:color="000000" w:sz="4" w:space="0"/>
              <w:right w:val="single" w:color="000000" w:sz="4" w:space="0"/>
            </w:tcBorders>
            <w:tcW w:w="540" w:type="dxa"/>
            <w:vAlign w:val="bottom"/>
            <w:textDirection w:val="lrTb"/>
            <w:noWrap/>
          </w:tcPr>
          <w:p>
            <w:pPr>
              <w:pStyle w:val="934"/>
              <w:jc w:val="center"/>
              <w:rPr>
                <w:sz w:val="24"/>
                <w:szCs w:val="24"/>
              </w:rPr>
            </w:pPr>
            <w:r>
              <w:rPr>
                <w:sz w:val="24"/>
                <w:szCs w:val="24"/>
              </w:rPr>
              <w:t xml:space="preserve">12.</w:t>
            </w:r>
            <w:r>
              <w:rPr>
                <w:sz w:val="24"/>
                <w:szCs w:val="24"/>
              </w:rPr>
            </w:r>
            <w:r>
              <w:rPr>
                <w:sz w:val="24"/>
                <w:szCs w:val="24"/>
              </w:rPr>
            </w:r>
          </w:p>
        </w:tc>
        <w:tc>
          <w:tcPr>
            <w:tcBorders>
              <w:top w:val="none" w:color="FFFFFF" w:sz="255" w:space="0"/>
              <w:left w:val="none" w:color="FFFFFF" w:sz="255" w:space="0"/>
              <w:bottom w:val="single" w:color="000000" w:sz="4" w:space="0"/>
              <w:right w:val="single" w:color="000000" w:sz="4" w:space="0"/>
            </w:tcBorders>
            <w:tcW w:w="4011" w:type="dxa"/>
            <w:vAlign w:val="bottom"/>
            <w:textDirection w:val="lrTb"/>
            <w:noWrap/>
          </w:tcPr>
          <w:p>
            <w:pPr>
              <w:pStyle w:val="934"/>
              <w:rPr>
                <w:sz w:val="24"/>
                <w:szCs w:val="24"/>
              </w:rPr>
            </w:pPr>
            <w:r>
              <w:rPr>
                <w:sz w:val="24"/>
                <w:szCs w:val="24"/>
              </w:rPr>
              <w:t xml:space="preserve">Средства массовой информации</w:t>
            </w:r>
            <w:r>
              <w:rPr>
                <w:sz w:val="24"/>
                <w:szCs w:val="24"/>
              </w:rPr>
            </w:r>
            <w:r>
              <w:rPr>
                <w:sz w:val="24"/>
                <w:szCs w:val="24"/>
              </w:rPr>
            </w:r>
          </w:p>
        </w:tc>
        <w:tc>
          <w:tcPr>
            <w:tcBorders>
              <w:top w:val="none" w:color="FFFFFF" w:sz="255" w:space="0"/>
              <w:left w:val="none" w:color="FFFFFF" w:sz="255" w:space="0"/>
              <w:bottom w:val="single" w:color="000000" w:sz="4" w:space="0"/>
              <w:right w:val="single" w:color="000000" w:sz="4" w:space="0"/>
            </w:tcBorders>
            <w:tcW w:w="1657" w:type="dxa"/>
            <w:vAlign w:val="bottom"/>
            <w:textDirection w:val="lrTb"/>
            <w:noWrap/>
          </w:tcPr>
          <w:p>
            <w:pPr>
              <w:pStyle w:val="934"/>
              <w:jc w:val="center"/>
              <w:rPr>
                <w:sz w:val="24"/>
                <w:szCs w:val="24"/>
              </w:rPr>
            </w:pPr>
            <w:r>
              <w:rPr>
                <w:sz w:val="24"/>
                <w:szCs w:val="24"/>
              </w:rPr>
              <w:t xml:space="preserve">25 273  </w:t>
            </w:r>
            <w:r>
              <w:rPr>
                <w:sz w:val="24"/>
                <w:szCs w:val="24"/>
              </w:rPr>
            </w:r>
            <w:r>
              <w:rPr>
                <w:sz w:val="24"/>
                <w:szCs w:val="24"/>
              </w:rPr>
            </w:r>
          </w:p>
        </w:tc>
        <w:tc>
          <w:tcPr>
            <w:tcBorders>
              <w:top w:val="none" w:color="FFFFFF" w:sz="255" w:space="0"/>
              <w:left w:val="none" w:color="FFFFFF" w:sz="255" w:space="0"/>
              <w:bottom w:val="single" w:color="000000" w:sz="4" w:space="0"/>
              <w:right w:val="single" w:color="000000" w:sz="4" w:space="0"/>
            </w:tcBorders>
            <w:tcW w:w="1717" w:type="dxa"/>
            <w:vAlign w:val="bottom"/>
            <w:textDirection w:val="lrTb"/>
            <w:noWrap/>
          </w:tcPr>
          <w:p>
            <w:pPr>
              <w:pStyle w:val="934"/>
              <w:jc w:val="center"/>
              <w:rPr>
                <w:sz w:val="24"/>
                <w:szCs w:val="24"/>
              </w:rPr>
            </w:pPr>
            <w:r>
              <w:rPr>
                <w:sz w:val="24"/>
                <w:szCs w:val="24"/>
              </w:rPr>
              <w:t xml:space="preserve">25 273  </w:t>
            </w:r>
            <w:r>
              <w:rPr>
                <w:sz w:val="24"/>
                <w:szCs w:val="24"/>
              </w:rPr>
            </w:r>
            <w:r>
              <w:rPr>
                <w:sz w:val="24"/>
                <w:szCs w:val="24"/>
              </w:rPr>
            </w:r>
          </w:p>
        </w:tc>
        <w:tc>
          <w:tcPr>
            <w:tcBorders>
              <w:top w:val="none" w:color="FFFFFF" w:sz="255" w:space="0"/>
              <w:left w:val="none" w:color="FFFFFF" w:sz="255" w:space="0"/>
              <w:bottom w:val="single" w:color="000000" w:sz="4" w:space="0"/>
              <w:right w:val="single" w:color="000000" w:sz="4" w:space="0"/>
            </w:tcBorders>
            <w:tcW w:w="1422" w:type="dxa"/>
            <w:vAlign w:val="center"/>
            <w:textDirection w:val="lrTb"/>
            <w:noWrap w:val="false"/>
          </w:tcPr>
          <w:p>
            <w:pPr>
              <w:pStyle w:val="934"/>
              <w:jc w:val="center"/>
              <w:rPr>
                <w:sz w:val="24"/>
                <w:szCs w:val="24"/>
              </w:rPr>
            </w:pPr>
            <w:r>
              <w:rPr>
                <w:sz w:val="24"/>
                <w:szCs w:val="24"/>
              </w:rPr>
              <w:t xml:space="preserve">100,0</w:t>
            </w:r>
            <w:r>
              <w:rPr>
                <w:sz w:val="24"/>
                <w:szCs w:val="24"/>
              </w:rPr>
            </w:r>
            <w:r>
              <w:rPr>
                <w:sz w:val="24"/>
                <w:szCs w:val="24"/>
              </w:rPr>
            </w:r>
          </w:p>
        </w:tc>
      </w:tr>
      <w:tr>
        <w:tblPrEx/>
        <w:trPr>
          <w:trHeight w:val="301"/>
        </w:trPr>
        <w:tc>
          <w:tcPr>
            <w:tcBorders>
              <w:top w:val="none" w:color="FFFFFF" w:sz="255" w:space="0"/>
              <w:left w:val="single" w:color="000000" w:sz="4" w:space="0"/>
              <w:bottom w:val="single" w:color="000000" w:sz="4" w:space="0"/>
              <w:right w:val="single" w:color="000000" w:sz="4" w:space="0"/>
            </w:tcBorders>
            <w:tcW w:w="540" w:type="dxa"/>
            <w:vAlign w:val="bottom"/>
            <w:textDirection w:val="lrTb"/>
            <w:noWrap/>
          </w:tcPr>
          <w:p>
            <w:pPr>
              <w:pStyle w:val="934"/>
              <w:jc w:val="center"/>
              <w:rPr>
                <w:sz w:val="24"/>
                <w:szCs w:val="24"/>
              </w:rPr>
            </w:pPr>
            <w:r>
              <w:rPr>
                <w:sz w:val="24"/>
                <w:szCs w:val="24"/>
              </w:rPr>
              <w:t xml:space="preserve">13.</w:t>
            </w:r>
            <w:r>
              <w:rPr>
                <w:sz w:val="24"/>
                <w:szCs w:val="24"/>
              </w:rPr>
            </w:r>
            <w:r>
              <w:rPr>
                <w:sz w:val="24"/>
                <w:szCs w:val="24"/>
              </w:rPr>
            </w:r>
          </w:p>
        </w:tc>
        <w:tc>
          <w:tcPr>
            <w:tcBorders>
              <w:top w:val="none" w:color="FFFFFF" w:sz="255" w:space="0"/>
              <w:left w:val="none" w:color="FFFFFF" w:sz="255" w:space="0"/>
              <w:bottom w:val="single" w:color="000000" w:sz="4" w:space="0"/>
              <w:right w:val="single" w:color="000000" w:sz="4" w:space="0"/>
            </w:tcBorders>
            <w:tcW w:w="4011" w:type="dxa"/>
            <w:vAlign w:val="bottom"/>
            <w:textDirection w:val="lrTb"/>
            <w:noWrap/>
          </w:tcPr>
          <w:p>
            <w:pPr>
              <w:pStyle w:val="934"/>
              <w:rPr>
                <w:sz w:val="24"/>
                <w:szCs w:val="24"/>
              </w:rPr>
            </w:pPr>
            <w:r>
              <w:rPr>
                <w:sz w:val="24"/>
                <w:szCs w:val="24"/>
              </w:rPr>
              <w:t xml:space="preserve">Обслуживание гос.и мун. долга</w:t>
            </w:r>
            <w:r>
              <w:rPr>
                <w:sz w:val="24"/>
                <w:szCs w:val="24"/>
              </w:rPr>
            </w:r>
            <w:r>
              <w:rPr>
                <w:sz w:val="24"/>
                <w:szCs w:val="24"/>
              </w:rPr>
            </w:r>
          </w:p>
        </w:tc>
        <w:tc>
          <w:tcPr>
            <w:tcBorders>
              <w:top w:val="none" w:color="FFFFFF" w:sz="255" w:space="0"/>
              <w:left w:val="none" w:color="FFFFFF" w:sz="255" w:space="0"/>
              <w:bottom w:val="single" w:color="000000" w:sz="4" w:space="0"/>
              <w:right w:val="single" w:color="000000" w:sz="4" w:space="0"/>
            </w:tcBorders>
            <w:tcW w:w="1657" w:type="dxa"/>
            <w:vAlign w:val="bottom"/>
            <w:textDirection w:val="lrTb"/>
            <w:noWrap/>
          </w:tcPr>
          <w:p>
            <w:pPr>
              <w:pStyle w:val="934"/>
              <w:jc w:val="center"/>
              <w:rPr>
                <w:sz w:val="24"/>
                <w:szCs w:val="24"/>
              </w:rPr>
            </w:pPr>
            <w:r>
              <w:rPr>
                <w:sz w:val="24"/>
                <w:szCs w:val="24"/>
              </w:rPr>
              <w:t xml:space="preserve">208  </w:t>
            </w:r>
            <w:r>
              <w:rPr>
                <w:sz w:val="24"/>
                <w:szCs w:val="24"/>
              </w:rPr>
            </w:r>
            <w:r>
              <w:rPr>
                <w:sz w:val="24"/>
                <w:szCs w:val="24"/>
              </w:rPr>
            </w:r>
          </w:p>
        </w:tc>
        <w:tc>
          <w:tcPr>
            <w:tcBorders>
              <w:top w:val="none" w:color="FFFFFF" w:sz="255" w:space="0"/>
              <w:left w:val="none" w:color="FFFFFF" w:sz="255" w:space="0"/>
              <w:bottom w:val="single" w:color="000000" w:sz="4" w:space="0"/>
              <w:right w:val="single" w:color="000000" w:sz="4" w:space="0"/>
            </w:tcBorders>
            <w:tcW w:w="1717" w:type="dxa"/>
            <w:vAlign w:val="bottom"/>
            <w:textDirection w:val="lrTb"/>
            <w:noWrap/>
          </w:tcPr>
          <w:p>
            <w:pPr>
              <w:pStyle w:val="934"/>
              <w:jc w:val="center"/>
              <w:rPr>
                <w:sz w:val="24"/>
                <w:szCs w:val="24"/>
              </w:rPr>
            </w:pPr>
            <w:r>
              <w:rPr>
                <w:sz w:val="24"/>
                <w:szCs w:val="24"/>
              </w:rPr>
              <w:t xml:space="preserve">191  </w:t>
            </w:r>
            <w:r>
              <w:rPr>
                <w:sz w:val="24"/>
                <w:szCs w:val="24"/>
              </w:rPr>
            </w:r>
            <w:r>
              <w:rPr>
                <w:sz w:val="24"/>
                <w:szCs w:val="24"/>
              </w:rPr>
            </w:r>
          </w:p>
        </w:tc>
        <w:tc>
          <w:tcPr>
            <w:tcBorders>
              <w:top w:val="none" w:color="FFFFFF" w:sz="255" w:space="0"/>
              <w:left w:val="none" w:color="FFFFFF" w:sz="255" w:space="0"/>
              <w:bottom w:val="single" w:color="000000" w:sz="4" w:space="0"/>
              <w:right w:val="single" w:color="000000" w:sz="4" w:space="0"/>
            </w:tcBorders>
            <w:tcW w:w="1422" w:type="dxa"/>
            <w:vAlign w:val="center"/>
            <w:textDirection w:val="lrTb"/>
            <w:noWrap w:val="false"/>
          </w:tcPr>
          <w:p>
            <w:pPr>
              <w:pStyle w:val="934"/>
              <w:jc w:val="center"/>
              <w:rPr>
                <w:sz w:val="24"/>
                <w:szCs w:val="24"/>
              </w:rPr>
            </w:pPr>
            <w:r>
              <w:rPr>
                <w:sz w:val="24"/>
                <w:szCs w:val="24"/>
              </w:rPr>
              <w:t xml:space="preserve">91,8</w:t>
            </w:r>
            <w:r>
              <w:rPr>
                <w:sz w:val="24"/>
                <w:szCs w:val="24"/>
              </w:rPr>
            </w:r>
            <w:r>
              <w:rPr>
                <w:sz w:val="24"/>
                <w:szCs w:val="24"/>
              </w:rPr>
            </w:r>
          </w:p>
        </w:tc>
      </w:tr>
      <w:tr>
        <w:tblPrEx/>
        <w:trPr>
          <w:trHeight w:val="301"/>
        </w:trPr>
        <w:tc>
          <w:tcPr>
            <w:tcBorders>
              <w:top w:val="none" w:color="FFFFFF" w:sz="255" w:space="0"/>
              <w:left w:val="single" w:color="000000" w:sz="4" w:space="0"/>
              <w:bottom w:val="single" w:color="000000" w:sz="4" w:space="0"/>
              <w:right w:val="single" w:color="000000" w:sz="4" w:space="0"/>
            </w:tcBorders>
            <w:tcW w:w="540" w:type="dxa"/>
            <w:vAlign w:val="bottom"/>
            <w:textDirection w:val="lrTb"/>
            <w:noWrap/>
          </w:tcPr>
          <w:p>
            <w:pPr>
              <w:pStyle w:val="934"/>
              <w:jc w:val="center"/>
              <w:rPr>
                <w:sz w:val="24"/>
                <w:szCs w:val="24"/>
              </w:rPr>
            </w:pPr>
            <w:r>
              <w:rPr>
                <w:sz w:val="24"/>
                <w:szCs w:val="24"/>
              </w:rPr>
              <w:t xml:space="preserve">14.</w:t>
            </w:r>
            <w:r>
              <w:rPr>
                <w:sz w:val="24"/>
                <w:szCs w:val="24"/>
              </w:rPr>
            </w:r>
            <w:r>
              <w:rPr>
                <w:sz w:val="24"/>
                <w:szCs w:val="24"/>
              </w:rPr>
            </w:r>
          </w:p>
        </w:tc>
        <w:tc>
          <w:tcPr>
            <w:tcBorders>
              <w:top w:val="none" w:color="FFFFFF" w:sz="255" w:space="0"/>
              <w:left w:val="none" w:color="FFFFFF" w:sz="255" w:space="0"/>
              <w:bottom w:val="single" w:color="000000" w:sz="4" w:space="0"/>
              <w:right w:val="single" w:color="000000" w:sz="4" w:space="0"/>
            </w:tcBorders>
            <w:tcW w:w="4011" w:type="dxa"/>
            <w:vAlign w:val="bottom"/>
            <w:textDirection w:val="lrTb"/>
            <w:noWrap/>
          </w:tcPr>
          <w:p>
            <w:pPr>
              <w:pStyle w:val="934"/>
              <w:rPr>
                <w:sz w:val="24"/>
                <w:szCs w:val="24"/>
              </w:rPr>
            </w:pPr>
            <w:r>
              <w:rPr>
                <w:sz w:val="24"/>
                <w:szCs w:val="24"/>
              </w:rPr>
              <w:t xml:space="preserve">Межбюджетные трансферты общего характера</w:t>
            </w:r>
            <w:r>
              <w:rPr>
                <w:sz w:val="24"/>
                <w:szCs w:val="24"/>
              </w:rPr>
            </w:r>
            <w:r>
              <w:rPr>
                <w:sz w:val="24"/>
                <w:szCs w:val="24"/>
              </w:rPr>
            </w:r>
          </w:p>
        </w:tc>
        <w:tc>
          <w:tcPr>
            <w:tcBorders>
              <w:top w:val="none" w:color="FFFFFF" w:sz="255" w:space="0"/>
              <w:left w:val="none" w:color="FFFFFF" w:sz="255" w:space="0"/>
              <w:bottom w:val="single" w:color="000000" w:sz="4" w:space="0"/>
              <w:right w:val="single" w:color="000000" w:sz="4" w:space="0"/>
            </w:tcBorders>
            <w:tcW w:w="1657" w:type="dxa"/>
            <w:vAlign w:val="bottom"/>
            <w:textDirection w:val="lrTb"/>
            <w:noWrap/>
          </w:tcPr>
          <w:p>
            <w:pPr>
              <w:pStyle w:val="934"/>
              <w:jc w:val="center"/>
              <w:rPr>
                <w:sz w:val="24"/>
                <w:szCs w:val="24"/>
              </w:rPr>
            </w:pPr>
            <w:r>
              <w:rPr>
                <w:sz w:val="24"/>
                <w:szCs w:val="24"/>
              </w:rPr>
              <w:t xml:space="preserve">0  </w:t>
            </w:r>
            <w:r>
              <w:rPr>
                <w:sz w:val="24"/>
                <w:szCs w:val="24"/>
              </w:rPr>
            </w:r>
            <w:r>
              <w:rPr>
                <w:sz w:val="24"/>
                <w:szCs w:val="24"/>
              </w:rPr>
            </w:r>
          </w:p>
        </w:tc>
        <w:tc>
          <w:tcPr>
            <w:tcBorders>
              <w:top w:val="none" w:color="FFFFFF" w:sz="255" w:space="0"/>
              <w:left w:val="none" w:color="FFFFFF" w:sz="255" w:space="0"/>
              <w:bottom w:val="single" w:color="000000" w:sz="4" w:space="0"/>
              <w:right w:val="single" w:color="000000" w:sz="4" w:space="0"/>
            </w:tcBorders>
            <w:tcW w:w="1717" w:type="dxa"/>
            <w:vAlign w:val="bottom"/>
            <w:textDirection w:val="lrTb"/>
            <w:noWrap/>
          </w:tcPr>
          <w:p>
            <w:pPr>
              <w:pStyle w:val="934"/>
              <w:jc w:val="center"/>
              <w:rPr>
                <w:sz w:val="24"/>
                <w:szCs w:val="24"/>
              </w:rPr>
            </w:pPr>
            <w:r>
              <w:rPr>
                <w:sz w:val="24"/>
                <w:szCs w:val="24"/>
              </w:rPr>
              <w:t xml:space="preserve">0  </w:t>
            </w:r>
            <w:r>
              <w:rPr>
                <w:sz w:val="24"/>
                <w:szCs w:val="24"/>
              </w:rPr>
            </w:r>
            <w:r>
              <w:rPr>
                <w:sz w:val="24"/>
                <w:szCs w:val="24"/>
              </w:rPr>
            </w:r>
          </w:p>
        </w:tc>
        <w:tc>
          <w:tcPr>
            <w:tcBorders>
              <w:top w:val="none" w:color="FFFFFF" w:sz="255" w:space="0"/>
              <w:left w:val="none" w:color="FFFFFF" w:sz="255" w:space="0"/>
              <w:bottom w:val="single" w:color="000000" w:sz="4" w:space="0"/>
              <w:right w:val="single" w:color="000000" w:sz="4" w:space="0"/>
            </w:tcBorders>
            <w:tcW w:w="1422" w:type="dxa"/>
            <w:vAlign w:val="center"/>
            <w:textDirection w:val="lrTb"/>
            <w:noWrap w:val="false"/>
          </w:tcPr>
          <w:p>
            <w:pPr>
              <w:pStyle w:val="934"/>
              <w:jc w:val="center"/>
              <w:rPr>
                <w:sz w:val="24"/>
                <w:szCs w:val="24"/>
              </w:rPr>
            </w:pPr>
            <w:r>
              <w:rPr>
                <w:sz w:val="24"/>
                <w:szCs w:val="24"/>
              </w:rPr>
              <w:t xml:space="preserve">#ДЕЛ/0!</w:t>
            </w:r>
            <w:r>
              <w:rPr>
                <w:sz w:val="24"/>
                <w:szCs w:val="24"/>
              </w:rPr>
            </w:r>
            <w:r>
              <w:rPr>
                <w:sz w:val="24"/>
                <w:szCs w:val="24"/>
              </w:rPr>
            </w:r>
          </w:p>
        </w:tc>
      </w:tr>
    </w:tbl>
    <w:p>
      <w:pPr>
        <w:pStyle w:val="934"/>
        <w:ind w:firstLine="720"/>
        <w:jc w:val="center"/>
        <w:spacing w:line="276" w:lineRule="auto"/>
        <w:tabs>
          <w:tab w:val="left" w:pos="851" w:leader="none"/>
        </w:tabs>
        <w:rPr>
          <w:b/>
          <w:color w:val="ff0000"/>
          <w:sz w:val="24"/>
          <w:szCs w:val="24"/>
          <w:lang w:val="en-US"/>
        </w:rPr>
      </w:pPr>
      <w:r>
        <w:rPr>
          <w:b/>
          <w:color w:val="ff0000"/>
          <w:sz w:val="24"/>
          <w:szCs w:val="24"/>
          <w:lang w:val="en-US"/>
        </w:rPr>
      </w:r>
      <w:r>
        <w:rPr>
          <w:b/>
          <w:color w:val="ff0000"/>
          <w:sz w:val="24"/>
          <w:szCs w:val="24"/>
          <w:lang w:val="en-US"/>
        </w:rPr>
      </w:r>
      <w:r>
        <w:rPr>
          <w:b/>
          <w:color w:val="ff0000"/>
          <w:sz w:val="24"/>
          <w:szCs w:val="24"/>
          <w:lang w:val="en-US"/>
        </w:rPr>
      </w:r>
    </w:p>
    <w:p>
      <w:pPr>
        <w:pStyle w:val="934"/>
        <w:ind w:firstLine="708"/>
        <w:jc w:val="both"/>
        <w:spacing w:line="276" w:lineRule="auto"/>
        <w:rPr>
          <w:sz w:val="24"/>
          <w:szCs w:val="24"/>
        </w:rPr>
      </w:pPr>
      <w:r>
        <w:rPr>
          <w:sz w:val="24"/>
          <w:szCs w:val="24"/>
        </w:rPr>
        <w:t xml:space="preserve">Исполнение бюджета Белоярского района по статьям расходов соответствует бюджетным обязательствам. </w:t>
      </w:r>
      <w:r>
        <w:rPr>
          <w:sz w:val="24"/>
          <w:szCs w:val="24"/>
        </w:rPr>
      </w:r>
      <w:r>
        <w:rPr>
          <w:sz w:val="24"/>
          <w:szCs w:val="24"/>
        </w:rPr>
      </w:r>
    </w:p>
    <w:p>
      <w:pPr>
        <w:pStyle w:val="934"/>
        <w:ind w:firstLine="709"/>
        <w:jc w:val="both"/>
        <w:spacing w:line="276" w:lineRule="auto"/>
        <w:rPr>
          <w:b/>
          <w:sz w:val="24"/>
          <w:szCs w:val="24"/>
        </w:rPr>
      </w:pPr>
      <w:r>
        <w:rPr>
          <w:b/>
          <w:sz w:val="24"/>
          <w:szCs w:val="24"/>
        </w:rPr>
        <w:t xml:space="preserve">Дефицит</w:t>
      </w:r>
      <w:r>
        <w:rPr>
          <w:b/>
          <w:sz w:val="24"/>
          <w:szCs w:val="24"/>
        </w:rPr>
        <w:t xml:space="preserve"> </w:t>
      </w:r>
      <w:r>
        <w:rPr>
          <w:sz w:val="24"/>
          <w:szCs w:val="24"/>
        </w:rPr>
        <w:t xml:space="preserve">консолидированного бюджета Белоярского района составил                              </w:t>
      </w:r>
      <w:r>
        <w:rPr>
          <w:b/>
          <w:sz w:val="24"/>
          <w:szCs w:val="24"/>
        </w:rPr>
        <w:t xml:space="preserve">163 931</w:t>
      </w:r>
      <w:r>
        <w:rPr>
          <w:b/>
          <w:sz w:val="24"/>
          <w:szCs w:val="24"/>
        </w:rPr>
        <w:t xml:space="preserve"> </w:t>
      </w:r>
      <w:r>
        <w:rPr>
          <w:b/>
          <w:sz w:val="24"/>
          <w:szCs w:val="24"/>
        </w:rPr>
        <w:t xml:space="preserve">тыс.</w:t>
      </w:r>
      <w:r>
        <w:rPr>
          <w:b/>
          <w:sz w:val="24"/>
          <w:szCs w:val="24"/>
        </w:rPr>
        <w:t xml:space="preserve"> руб.</w:t>
      </w:r>
      <w:r>
        <w:rPr>
          <w:b/>
          <w:sz w:val="24"/>
          <w:szCs w:val="24"/>
        </w:rPr>
      </w:r>
      <w:r>
        <w:rPr>
          <w:b/>
          <w:sz w:val="24"/>
          <w:szCs w:val="24"/>
        </w:rPr>
      </w:r>
    </w:p>
    <w:p>
      <w:pPr>
        <w:pStyle w:val="934"/>
        <w:jc w:val="center"/>
        <w:spacing w:line="276" w:lineRule="auto"/>
        <w:rPr>
          <w:b/>
          <w:color w:val="ff0000"/>
          <w:sz w:val="24"/>
          <w:szCs w:val="24"/>
        </w:rPr>
      </w:pPr>
      <w:r>
        <w:rPr>
          <w:b/>
          <w:color w:val="ff0000"/>
          <w:sz w:val="24"/>
          <w:szCs w:val="24"/>
        </w:rPr>
      </w:r>
      <w:r>
        <w:rPr>
          <w:b/>
          <w:color w:val="ff0000"/>
          <w:sz w:val="24"/>
          <w:szCs w:val="24"/>
        </w:rPr>
      </w:r>
      <w:r>
        <w:rPr>
          <w:b/>
          <w:color w:val="ff0000"/>
          <w:sz w:val="24"/>
          <w:szCs w:val="24"/>
        </w:rPr>
      </w:r>
    </w:p>
    <w:p>
      <w:pPr>
        <w:pStyle w:val="934"/>
        <w:jc w:val="center"/>
        <w:spacing w:line="276" w:lineRule="auto"/>
        <w:rPr>
          <w:b/>
          <w:sz w:val="24"/>
          <w:szCs w:val="24"/>
        </w:rPr>
      </w:pPr>
      <w:r>
        <w:rPr>
          <w:b/>
          <w:sz w:val="24"/>
          <w:szCs w:val="24"/>
        </w:rPr>
        <w:t xml:space="preserve">7. УРОВЕНЬ ЖИЗНИ НАСЕЛЕНИЯ</w:t>
      </w:r>
      <w:r>
        <w:rPr>
          <w:b/>
          <w:sz w:val="24"/>
          <w:szCs w:val="24"/>
        </w:rPr>
      </w:r>
      <w:r>
        <w:rPr>
          <w:b/>
          <w:sz w:val="24"/>
          <w:szCs w:val="24"/>
        </w:rPr>
      </w:r>
    </w:p>
    <w:p>
      <w:pPr>
        <w:pStyle w:val="934"/>
        <w:ind w:firstLine="709"/>
        <w:jc w:val="both"/>
        <w:spacing w:line="276" w:lineRule="auto"/>
        <w:rPr>
          <w:color w:val="ff0000"/>
          <w:sz w:val="24"/>
          <w:szCs w:val="24"/>
        </w:rPr>
      </w:pPr>
      <w:r>
        <w:rPr>
          <w:color w:val="ff0000"/>
          <w:sz w:val="24"/>
          <w:szCs w:val="24"/>
        </w:rPr>
      </w:r>
      <w:r>
        <w:rPr>
          <w:color w:val="ff0000"/>
          <w:sz w:val="24"/>
          <w:szCs w:val="24"/>
        </w:rPr>
      </w:r>
      <w:r>
        <w:rPr>
          <w:color w:val="ff0000"/>
          <w:sz w:val="24"/>
          <w:szCs w:val="24"/>
        </w:rPr>
      </w:r>
    </w:p>
    <w:p>
      <w:pPr>
        <w:pStyle w:val="934"/>
        <w:ind w:firstLine="709"/>
        <w:jc w:val="both"/>
        <w:spacing w:line="300" w:lineRule="auto"/>
        <w:rPr>
          <w:color w:val="ff0000"/>
          <w:sz w:val="24"/>
          <w:szCs w:val="24"/>
        </w:rPr>
      </w:pPr>
      <w:r>
        <w:rPr>
          <w:sz w:val="24"/>
          <w:szCs w:val="24"/>
        </w:rPr>
        <w:t xml:space="preserve">Среднедушевые денежные доходы населения Белоярского района за 2024 год пред</w:t>
      </w:r>
      <w:r>
        <w:rPr>
          <w:sz w:val="24"/>
          <w:szCs w:val="24"/>
        </w:rPr>
        <w:t xml:space="preserve">варительно составили 73 752 руб., увеличившись на 9,2 % к уровню 2023 года. Достигнутый уровень денежных доходов населения позволил обеспечить 3,6 бюджета прожиточного минимума, установленного на душу населения в Ханты-Мансийском автономном округе - Югре. </w:t>
      </w:r>
      <w:r>
        <w:rPr>
          <w:color w:val="ff0000"/>
          <w:sz w:val="24"/>
          <w:szCs w:val="24"/>
        </w:rPr>
      </w:r>
      <w:r>
        <w:rPr>
          <w:color w:val="ff0000"/>
          <w:sz w:val="24"/>
          <w:szCs w:val="24"/>
        </w:rPr>
      </w:r>
    </w:p>
    <w:p>
      <w:pPr>
        <w:pStyle w:val="934"/>
        <w:ind w:firstLine="708"/>
        <w:jc w:val="both"/>
        <w:spacing w:line="300" w:lineRule="auto"/>
        <w:rPr>
          <w:sz w:val="24"/>
          <w:szCs w:val="24"/>
        </w:rPr>
      </w:pPr>
      <w:r>
        <w:rPr>
          <w:sz w:val="24"/>
          <w:szCs w:val="24"/>
        </w:rPr>
        <w:t xml:space="preserve">Основную статью де</w:t>
      </w:r>
      <w:r>
        <w:rPr>
          <w:sz w:val="24"/>
          <w:szCs w:val="24"/>
        </w:rPr>
        <w:t xml:space="preserve">нежных доходов населения составляет заработная плата работающего населения. Среднемесячная заработная плата одного работника по крупным и средним предприятиям за 2024 год оценочно сложилась в размере 146 316 руб., увеличившись на 10,2% к уровню 2023 года. </w:t>
      </w:r>
      <w:r>
        <w:rPr>
          <w:sz w:val="24"/>
          <w:szCs w:val="24"/>
        </w:rPr>
      </w:r>
      <w:r>
        <w:rPr>
          <w:sz w:val="24"/>
          <w:szCs w:val="24"/>
        </w:rPr>
      </w:r>
    </w:p>
    <w:p>
      <w:pPr>
        <w:pStyle w:val="934"/>
        <w:ind w:firstLine="709"/>
        <w:jc w:val="both"/>
        <w:spacing w:line="276" w:lineRule="auto"/>
        <w:rPr>
          <w:sz w:val="24"/>
          <w:szCs w:val="24"/>
        </w:rPr>
      </w:pPr>
      <w:r>
        <w:rPr>
          <w:sz w:val="24"/>
          <w:szCs w:val="24"/>
        </w:rPr>
        <w:t xml:space="preserve">Численность получателей трудовых пенсий в Белоярском районе на 1 </w:t>
      </w:r>
      <w:r>
        <w:rPr>
          <w:sz w:val="24"/>
          <w:szCs w:val="24"/>
        </w:rPr>
        <w:t xml:space="preserve">января 2025</w:t>
      </w:r>
      <w:r>
        <w:rPr>
          <w:sz w:val="24"/>
          <w:szCs w:val="24"/>
        </w:rPr>
        <w:t xml:space="preserve"> года составила </w:t>
      </w:r>
      <w:r>
        <w:rPr>
          <w:sz w:val="24"/>
          <w:szCs w:val="24"/>
        </w:rPr>
        <w:t xml:space="preserve">63</w:t>
      </w:r>
      <w:r>
        <w:rPr>
          <w:sz w:val="24"/>
          <w:szCs w:val="24"/>
        </w:rPr>
        <w:t xml:space="preserve">7</w:t>
      </w:r>
      <w:r>
        <w:rPr>
          <w:sz w:val="24"/>
          <w:szCs w:val="24"/>
        </w:rPr>
        <w:t xml:space="preserve">4</w:t>
      </w:r>
      <w:r>
        <w:rPr>
          <w:sz w:val="24"/>
          <w:szCs w:val="24"/>
        </w:rPr>
        <w:t xml:space="preserve"> человек</w:t>
      </w:r>
      <w:r>
        <w:rPr>
          <w:sz w:val="24"/>
          <w:szCs w:val="24"/>
        </w:rPr>
        <w:t xml:space="preserve"> или 22,</w:t>
      </w:r>
      <w:r>
        <w:rPr>
          <w:sz w:val="24"/>
          <w:szCs w:val="24"/>
        </w:rPr>
        <w:t xml:space="preserve">5</w:t>
      </w:r>
      <w:r>
        <w:rPr>
          <w:sz w:val="24"/>
          <w:szCs w:val="24"/>
        </w:rPr>
        <w:t xml:space="preserve"> % от общей численности постоянного населения Белоярского района. Средний размер назначенной страховой пенсии по району на 1 </w:t>
      </w:r>
      <w:r>
        <w:rPr>
          <w:sz w:val="24"/>
          <w:szCs w:val="24"/>
        </w:rPr>
        <w:t xml:space="preserve">января 2025</w:t>
      </w:r>
      <w:r>
        <w:rPr>
          <w:sz w:val="24"/>
          <w:szCs w:val="24"/>
        </w:rPr>
        <w:t xml:space="preserve"> года составил </w:t>
      </w:r>
      <w:r>
        <w:rPr>
          <w:sz w:val="24"/>
          <w:szCs w:val="24"/>
        </w:rPr>
        <w:t xml:space="preserve">35 399,97</w:t>
      </w:r>
      <w:r>
        <w:rPr>
          <w:sz w:val="24"/>
          <w:szCs w:val="24"/>
        </w:rPr>
        <w:t xml:space="preserve"> руб.</w:t>
      </w:r>
      <w:r>
        <w:rPr>
          <w:sz w:val="24"/>
          <w:szCs w:val="24"/>
        </w:rPr>
        <w:t xml:space="preserve">, что в </w:t>
      </w:r>
      <w:r>
        <w:rPr>
          <w:sz w:val="24"/>
          <w:szCs w:val="24"/>
        </w:rPr>
        <w:t xml:space="preserve">2</w:t>
      </w:r>
      <w:r>
        <w:rPr>
          <w:sz w:val="24"/>
          <w:szCs w:val="24"/>
        </w:rPr>
        <w:t xml:space="preserve"> </w:t>
      </w:r>
      <w:r>
        <w:rPr>
          <w:sz w:val="24"/>
          <w:szCs w:val="24"/>
        </w:rPr>
        <w:t xml:space="preserve">раза превышает бюджет прожиточного минимума пенсионера. Доля среднего размера трудовой пенсии по старости от среднего размера заработной платы работающего </w:t>
      </w:r>
      <w:r>
        <w:rPr>
          <w:sz w:val="24"/>
          <w:szCs w:val="24"/>
        </w:rPr>
        <w:t xml:space="preserve">за</w:t>
      </w:r>
      <w:r>
        <w:rPr>
          <w:sz w:val="24"/>
          <w:szCs w:val="24"/>
        </w:rPr>
        <w:t xml:space="preserve"> </w:t>
      </w:r>
      <w:r>
        <w:rPr>
          <w:sz w:val="24"/>
          <w:szCs w:val="24"/>
        </w:rPr>
        <w:t xml:space="preserve">202</w:t>
      </w:r>
      <w:r>
        <w:rPr>
          <w:sz w:val="24"/>
          <w:szCs w:val="24"/>
        </w:rPr>
        <w:t xml:space="preserve">5</w:t>
      </w:r>
      <w:r>
        <w:rPr>
          <w:sz w:val="24"/>
          <w:szCs w:val="24"/>
        </w:rPr>
        <w:t xml:space="preserve"> год составил</w:t>
      </w:r>
      <w:r>
        <w:rPr>
          <w:sz w:val="24"/>
          <w:szCs w:val="24"/>
        </w:rPr>
        <w:t xml:space="preserve">а</w:t>
      </w:r>
      <w:r>
        <w:rPr>
          <w:sz w:val="24"/>
          <w:szCs w:val="24"/>
        </w:rPr>
        <w:t xml:space="preserve"> </w:t>
      </w:r>
      <w:r>
        <w:rPr>
          <w:sz w:val="24"/>
          <w:szCs w:val="24"/>
        </w:rPr>
        <w:t xml:space="preserve">24,2</w:t>
      </w:r>
      <w:r>
        <w:rPr>
          <w:sz w:val="24"/>
          <w:szCs w:val="24"/>
        </w:rPr>
        <w:t xml:space="preserve">%.</w:t>
      </w:r>
      <w:r>
        <w:rPr>
          <w:sz w:val="24"/>
          <w:szCs w:val="24"/>
        </w:rPr>
      </w:r>
      <w:r>
        <w:rPr>
          <w:sz w:val="24"/>
          <w:szCs w:val="24"/>
        </w:rPr>
      </w:r>
    </w:p>
    <w:p>
      <w:pPr>
        <w:pStyle w:val="934"/>
        <w:jc w:val="both"/>
        <w:spacing w:line="276" w:lineRule="auto"/>
        <w:rPr>
          <w:b/>
          <w:i/>
          <w:color w:val="ff0000"/>
          <w:sz w:val="24"/>
          <w:szCs w:val="24"/>
        </w:rPr>
      </w:pPr>
      <w:r>
        <w:rPr>
          <w:b/>
          <w:i/>
          <w:color w:val="ff0000"/>
          <w:sz w:val="24"/>
          <w:szCs w:val="24"/>
        </w:rPr>
      </w:r>
      <w:r>
        <w:rPr>
          <w:b/>
          <w:i/>
          <w:color w:val="ff0000"/>
          <w:sz w:val="24"/>
          <w:szCs w:val="24"/>
        </w:rPr>
      </w:r>
      <w:r>
        <w:rPr>
          <w:b/>
          <w:i/>
          <w:color w:val="ff0000"/>
          <w:sz w:val="24"/>
          <w:szCs w:val="24"/>
        </w:rPr>
      </w:r>
    </w:p>
    <w:p>
      <w:pPr>
        <w:pStyle w:val="934"/>
        <w:jc w:val="both"/>
        <w:spacing w:line="276" w:lineRule="auto"/>
        <w:rPr>
          <w:b/>
          <w:i/>
          <w:sz w:val="24"/>
          <w:szCs w:val="24"/>
        </w:rPr>
      </w:pPr>
      <w:r>
        <w:rPr>
          <w:b/>
          <w:i/>
          <w:sz w:val="24"/>
          <w:szCs w:val="24"/>
        </w:rPr>
        <w:t xml:space="preserve">Труд и занятость населения</w:t>
      </w:r>
      <w:r>
        <w:rPr>
          <w:b/>
          <w:i/>
          <w:sz w:val="24"/>
          <w:szCs w:val="24"/>
        </w:rPr>
      </w:r>
      <w:r>
        <w:rPr>
          <w:b/>
          <w:i/>
          <w:sz w:val="24"/>
          <w:szCs w:val="24"/>
        </w:rPr>
      </w:r>
    </w:p>
    <w:p>
      <w:pPr>
        <w:pStyle w:val="934"/>
        <w:ind w:firstLine="720"/>
        <w:jc w:val="both"/>
        <w:spacing w:line="276" w:lineRule="auto"/>
        <w:rPr>
          <w:sz w:val="24"/>
          <w:szCs w:val="24"/>
        </w:rPr>
      </w:pPr>
      <w:r>
        <w:rPr>
          <w:sz w:val="24"/>
          <w:szCs w:val="24"/>
        </w:rPr>
        <w:t xml:space="preserve">Трудовые ресурсы являются важнейшими факторами экономического роста. Доля экономическ</w:t>
      </w:r>
      <w:r>
        <w:rPr>
          <w:sz w:val="24"/>
          <w:szCs w:val="24"/>
        </w:rPr>
        <w:t xml:space="preserve">и активного населения, с учетом</w:t>
      </w:r>
      <w:r>
        <w:rPr>
          <w:sz w:val="24"/>
          <w:szCs w:val="24"/>
        </w:rPr>
        <w:t xml:space="preserve"> работающих пенсионеров, от общей чи</w:t>
      </w:r>
      <w:r>
        <w:rPr>
          <w:sz w:val="24"/>
          <w:szCs w:val="24"/>
        </w:rPr>
        <w:t xml:space="preserve">сле</w:t>
      </w:r>
      <w:r>
        <w:rPr>
          <w:sz w:val="24"/>
          <w:szCs w:val="24"/>
        </w:rPr>
        <w:t xml:space="preserve">нности населения сос</w:t>
      </w:r>
      <w:r>
        <w:rPr>
          <w:sz w:val="24"/>
          <w:szCs w:val="24"/>
        </w:rPr>
        <w:t xml:space="preserve">тавляет 58</w:t>
      </w:r>
      <w:r>
        <w:rPr>
          <w:sz w:val="24"/>
          <w:szCs w:val="24"/>
        </w:rPr>
        <w:t xml:space="preserve">,3</w:t>
      </w:r>
      <w:r>
        <w:rPr>
          <w:sz w:val="24"/>
          <w:szCs w:val="24"/>
        </w:rPr>
        <w:t xml:space="preserve">%.</w:t>
      </w:r>
      <w:r>
        <w:rPr>
          <w:sz w:val="24"/>
          <w:szCs w:val="24"/>
        </w:rPr>
        <w:t xml:space="preserve"> </w:t>
      </w:r>
      <w:r>
        <w:rPr>
          <w:sz w:val="24"/>
          <w:szCs w:val="24"/>
        </w:rPr>
      </w:r>
      <w:r>
        <w:rPr>
          <w:sz w:val="24"/>
          <w:szCs w:val="24"/>
        </w:rPr>
      </w:r>
    </w:p>
    <w:p>
      <w:pPr>
        <w:pStyle w:val="934"/>
        <w:ind w:firstLine="708"/>
        <w:jc w:val="both"/>
        <w:spacing w:line="276" w:lineRule="auto"/>
        <w:rPr>
          <w:sz w:val="24"/>
          <w:szCs w:val="24"/>
        </w:rPr>
      </w:pPr>
      <w:r>
        <w:rPr>
          <w:sz w:val="24"/>
          <w:szCs w:val="24"/>
        </w:rPr>
        <w:t xml:space="preserve">Среднесписочная численность работников всех предприятий и организаций (по полному кругу) на</w:t>
      </w:r>
      <w:r>
        <w:rPr>
          <w:sz w:val="24"/>
          <w:szCs w:val="24"/>
        </w:rPr>
        <w:t xml:space="preserve"> 1 </w:t>
      </w:r>
      <w:r>
        <w:rPr>
          <w:sz w:val="24"/>
          <w:szCs w:val="24"/>
        </w:rPr>
        <w:t xml:space="preserve">января </w:t>
      </w:r>
      <w:r>
        <w:rPr>
          <w:sz w:val="24"/>
          <w:szCs w:val="24"/>
        </w:rPr>
        <w:t xml:space="preserve">202</w:t>
      </w:r>
      <w:r>
        <w:rPr>
          <w:sz w:val="24"/>
          <w:szCs w:val="24"/>
        </w:rPr>
        <w:t xml:space="preserve">5</w:t>
      </w:r>
      <w:r>
        <w:rPr>
          <w:sz w:val="24"/>
          <w:szCs w:val="24"/>
        </w:rPr>
        <w:t xml:space="preserve"> года оценочно</w:t>
      </w:r>
      <w:r>
        <w:rPr>
          <w:sz w:val="24"/>
          <w:szCs w:val="24"/>
        </w:rPr>
        <w:t xml:space="preserve"> составила </w:t>
      </w:r>
      <w:r>
        <w:rPr>
          <w:sz w:val="24"/>
          <w:szCs w:val="24"/>
        </w:rPr>
        <w:t xml:space="preserve">14,</w:t>
      </w:r>
      <w:r>
        <w:rPr>
          <w:sz w:val="24"/>
          <w:szCs w:val="24"/>
        </w:rPr>
        <w:t xml:space="preserve">304</w:t>
      </w:r>
      <w:r>
        <w:rPr>
          <w:sz w:val="24"/>
          <w:szCs w:val="24"/>
        </w:rPr>
        <w:t xml:space="preserve"> тыс. чел., из них преобладающая</w:t>
      </w:r>
      <w:r>
        <w:rPr>
          <w:sz w:val="24"/>
          <w:szCs w:val="24"/>
        </w:rPr>
        <w:t xml:space="preserve"> часть занятого населения </w:t>
      </w:r>
      <w:r>
        <w:rPr>
          <w:sz w:val="24"/>
          <w:szCs w:val="24"/>
        </w:rPr>
        <w:t xml:space="preserve">10,</w:t>
      </w:r>
      <w:r>
        <w:rPr>
          <w:sz w:val="24"/>
          <w:szCs w:val="24"/>
        </w:rPr>
        <w:t xml:space="preserve">503</w:t>
      </w:r>
      <w:r>
        <w:rPr>
          <w:sz w:val="24"/>
          <w:szCs w:val="24"/>
        </w:rPr>
        <w:t xml:space="preserve"> тыс. человек</w:t>
      </w:r>
      <w:r>
        <w:rPr>
          <w:sz w:val="24"/>
          <w:szCs w:val="24"/>
        </w:rPr>
        <w:t xml:space="preserve"> сосредоточена на крупных и средних предприятиях, </w:t>
      </w:r>
      <w:r>
        <w:rPr>
          <w:sz w:val="24"/>
          <w:szCs w:val="24"/>
        </w:rPr>
        <w:t xml:space="preserve">3,801</w:t>
      </w:r>
      <w:r>
        <w:rPr>
          <w:sz w:val="24"/>
          <w:szCs w:val="24"/>
        </w:rPr>
        <w:t xml:space="preserve"> тыс. человек</w:t>
      </w:r>
      <w:r>
        <w:rPr>
          <w:sz w:val="24"/>
          <w:szCs w:val="24"/>
        </w:rPr>
        <w:t xml:space="preserve"> заняты в малом бизнесе. </w:t>
      </w:r>
      <w:r>
        <w:rPr>
          <w:sz w:val="24"/>
          <w:szCs w:val="24"/>
        </w:rPr>
      </w:r>
      <w:r>
        <w:rPr>
          <w:sz w:val="24"/>
          <w:szCs w:val="24"/>
        </w:rPr>
      </w:r>
    </w:p>
    <w:p>
      <w:pPr>
        <w:pStyle w:val="934"/>
        <w:ind w:firstLine="720"/>
        <w:jc w:val="both"/>
        <w:spacing w:line="276" w:lineRule="auto"/>
        <w:rPr>
          <w:sz w:val="24"/>
          <w:szCs w:val="24"/>
        </w:rPr>
      </w:pPr>
      <w:r>
        <w:rPr>
          <w:bCs/>
          <w:sz w:val="24"/>
          <w:szCs w:val="24"/>
        </w:rPr>
        <w:t xml:space="preserve">По состоянию на 1 </w:t>
      </w:r>
      <w:r>
        <w:rPr>
          <w:bCs/>
          <w:sz w:val="24"/>
          <w:szCs w:val="24"/>
        </w:rPr>
        <w:t xml:space="preserve">января 2025</w:t>
      </w:r>
      <w:r>
        <w:rPr>
          <w:bCs/>
          <w:sz w:val="24"/>
          <w:szCs w:val="24"/>
        </w:rPr>
        <w:t xml:space="preserve"> года</w:t>
      </w:r>
      <w:r>
        <w:rPr>
          <w:bCs/>
          <w:sz w:val="24"/>
          <w:szCs w:val="24"/>
        </w:rPr>
        <w:t xml:space="preserve"> на территории района </w:t>
      </w:r>
      <w:r>
        <w:rPr>
          <w:bCs/>
          <w:sz w:val="24"/>
          <w:szCs w:val="24"/>
        </w:rPr>
        <w:t xml:space="preserve">ч</w:t>
      </w:r>
      <w:r>
        <w:rPr>
          <w:bCs/>
          <w:sz w:val="24"/>
          <w:szCs w:val="24"/>
        </w:rPr>
        <w:t xml:space="preserve">ис</w:t>
      </w:r>
      <w:r>
        <w:rPr>
          <w:bCs/>
          <w:sz w:val="24"/>
          <w:szCs w:val="24"/>
        </w:rPr>
        <w:t xml:space="preserve">ле</w:t>
      </w:r>
      <w:r>
        <w:rPr>
          <w:bCs/>
          <w:sz w:val="24"/>
          <w:szCs w:val="24"/>
        </w:rPr>
        <w:t xml:space="preserve">нность безработных составила </w:t>
      </w:r>
      <w:r>
        <w:rPr>
          <w:bCs/>
          <w:sz w:val="24"/>
          <w:szCs w:val="24"/>
        </w:rPr>
        <w:t xml:space="preserve">69</w:t>
      </w:r>
      <w:r>
        <w:rPr>
          <w:bCs/>
          <w:sz w:val="24"/>
          <w:szCs w:val="24"/>
        </w:rPr>
        <w:t xml:space="preserve"> человек, у</w:t>
      </w:r>
      <w:r>
        <w:rPr>
          <w:bCs/>
          <w:sz w:val="24"/>
          <w:szCs w:val="24"/>
        </w:rPr>
        <w:t xml:space="preserve">ровень бе</w:t>
      </w:r>
      <w:r>
        <w:rPr>
          <w:bCs/>
          <w:sz w:val="24"/>
          <w:szCs w:val="24"/>
        </w:rPr>
        <w:t xml:space="preserve">зработицы составил </w:t>
      </w:r>
      <w:r>
        <w:rPr>
          <w:bCs/>
          <w:sz w:val="24"/>
          <w:szCs w:val="24"/>
        </w:rPr>
        <w:t xml:space="preserve">0,42</w:t>
      </w:r>
      <w:r>
        <w:rPr>
          <w:sz w:val="24"/>
          <w:szCs w:val="24"/>
        </w:rPr>
        <w:t xml:space="preserve">% к численности экономически активного населения.</w:t>
      </w:r>
      <w:r>
        <w:rPr>
          <w:sz w:val="24"/>
          <w:szCs w:val="24"/>
        </w:rPr>
        <w:t xml:space="preserve"> Создано </w:t>
      </w:r>
      <w:r>
        <w:rPr>
          <w:sz w:val="24"/>
          <w:szCs w:val="24"/>
        </w:rPr>
        <w:t xml:space="preserve">15</w:t>
      </w:r>
      <w:r>
        <w:rPr>
          <w:sz w:val="24"/>
          <w:szCs w:val="24"/>
        </w:rPr>
        <w:t xml:space="preserve"> рабочих мест.</w:t>
      </w:r>
      <w:r>
        <w:rPr>
          <w:sz w:val="24"/>
          <w:szCs w:val="24"/>
        </w:rPr>
      </w:r>
      <w:r>
        <w:rPr>
          <w:sz w:val="24"/>
          <w:szCs w:val="24"/>
        </w:rPr>
      </w:r>
    </w:p>
    <w:p>
      <w:pPr>
        <w:pStyle w:val="934"/>
        <w:jc w:val="center"/>
        <w:spacing w:line="276" w:lineRule="auto"/>
        <w:rPr>
          <w:b/>
          <w:color w:val="ff0000"/>
          <w:sz w:val="24"/>
          <w:szCs w:val="24"/>
        </w:rPr>
      </w:pPr>
      <w:r>
        <w:rPr>
          <w:b/>
          <w:color w:val="ff0000"/>
          <w:sz w:val="24"/>
          <w:szCs w:val="24"/>
        </w:rPr>
      </w:r>
      <w:r>
        <w:rPr>
          <w:b/>
          <w:color w:val="ff0000"/>
          <w:sz w:val="24"/>
          <w:szCs w:val="24"/>
        </w:rPr>
      </w:r>
      <w:r>
        <w:rPr>
          <w:b/>
          <w:color w:val="ff0000"/>
          <w:sz w:val="24"/>
          <w:szCs w:val="24"/>
        </w:rPr>
      </w:r>
    </w:p>
    <w:p>
      <w:pPr>
        <w:pStyle w:val="934"/>
        <w:jc w:val="center"/>
        <w:spacing w:line="276" w:lineRule="auto"/>
        <w:rPr>
          <w:b/>
          <w:sz w:val="24"/>
          <w:szCs w:val="24"/>
        </w:rPr>
      </w:pPr>
      <w:r>
        <w:rPr>
          <w:b/>
          <w:sz w:val="24"/>
          <w:szCs w:val="24"/>
        </w:rPr>
        <w:t xml:space="preserve">О мероприятиях по привлечению дополнительных средств </w:t>
      </w:r>
      <w:r>
        <w:rPr>
          <w:b/>
          <w:sz w:val="24"/>
          <w:szCs w:val="24"/>
        </w:rPr>
      </w:r>
      <w:r>
        <w:rPr>
          <w:b/>
          <w:sz w:val="24"/>
          <w:szCs w:val="24"/>
        </w:rPr>
      </w:r>
    </w:p>
    <w:p>
      <w:pPr>
        <w:pStyle w:val="934"/>
        <w:jc w:val="center"/>
        <w:spacing w:line="276" w:lineRule="auto"/>
        <w:rPr>
          <w:b/>
          <w:sz w:val="24"/>
          <w:szCs w:val="24"/>
        </w:rPr>
      </w:pPr>
      <w:r>
        <w:rPr>
          <w:b/>
          <w:sz w:val="24"/>
          <w:szCs w:val="24"/>
        </w:rPr>
        <w:t xml:space="preserve">в бюджет Белоярского района </w:t>
      </w:r>
      <w:r>
        <w:rPr>
          <w:b/>
          <w:sz w:val="24"/>
          <w:szCs w:val="24"/>
        </w:rPr>
      </w:r>
      <w:r>
        <w:rPr>
          <w:b/>
          <w:sz w:val="24"/>
          <w:szCs w:val="24"/>
        </w:rPr>
      </w:r>
    </w:p>
    <w:p>
      <w:pPr>
        <w:pStyle w:val="934"/>
        <w:jc w:val="center"/>
        <w:spacing w:line="276" w:lineRule="auto"/>
        <w:rPr>
          <w:b/>
          <w:sz w:val="24"/>
          <w:szCs w:val="24"/>
        </w:rPr>
      </w:pPr>
      <w:r>
        <w:rPr>
          <w:b/>
          <w:sz w:val="24"/>
          <w:szCs w:val="24"/>
        </w:rPr>
      </w:r>
      <w:r>
        <w:rPr>
          <w:b/>
          <w:sz w:val="24"/>
          <w:szCs w:val="24"/>
        </w:rPr>
      </w:r>
      <w:r>
        <w:rPr>
          <w:b/>
          <w:sz w:val="24"/>
          <w:szCs w:val="24"/>
        </w:rPr>
      </w:r>
    </w:p>
    <w:p>
      <w:pPr>
        <w:pStyle w:val="934"/>
        <w:ind w:firstLine="708"/>
        <w:jc w:val="both"/>
        <w:spacing w:line="300" w:lineRule="auto"/>
        <w:widowControl w:val="off"/>
        <w:rPr>
          <w:bCs/>
          <w:sz w:val="24"/>
          <w:szCs w:val="24"/>
        </w:rPr>
      </w:pPr>
      <w:r>
        <w:rPr>
          <w:bCs/>
          <w:sz w:val="24"/>
          <w:szCs w:val="24"/>
        </w:rPr>
        <w:t xml:space="preserve">План мероприятий по росту доходов, оптимизации расходов и поддержанию муниципального долга Белоярского района на экономически безопасном уровне утвержден постано</w:t>
      </w:r>
      <w:r>
        <w:rPr>
          <w:bCs/>
          <w:sz w:val="24"/>
          <w:szCs w:val="24"/>
        </w:rPr>
        <w:t xml:space="preserve">влением администрации Белоярского района от 19.02.2024 года № 123 «Об утверждении Плана мероприятий по росту доходов, оптимизации расходов и сокращению муниципального долга Белоярского района на 2024 год и плановый период 2025 и 2026 годов» (далее - План).</w:t>
      </w:r>
      <w:r>
        <w:rPr>
          <w:bCs/>
          <w:sz w:val="24"/>
          <w:szCs w:val="24"/>
        </w:rPr>
      </w:r>
      <w:r>
        <w:rPr>
          <w:bCs/>
          <w:sz w:val="24"/>
          <w:szCs w:val="24"/>
        </w:rPr>
      </w:r>
    </w:p>
    <w:p>
      <w:pPr>
        <w:pStyle w:val="934"/>
        <w:ind w:firstLine="709"/>
        <w:jc w:val="both"/>
        <w:spacing w:line="300" w:lineRule="auto"/>
        <w:rPr>
          <w:bCs/>
          <w:sz w:val="24"/>
          <w:szCs w:val="24"/>
          <w:lang w:eastAsia="zh-CN"/>
        </w:rPr>
      </w:pPr>
      <w:r>
        <w:rPr>
          <w:bCs/>
          <w:sz w:val="24"/>
          <w:szCs w:val="24"/>
          <w:lang w:eastAsia="zh-CN"/>
        </w:rPr>
        <w:t xml:space="preserve">Бюджетный эффект от проведения мероприятий по росту доходов и оптимизации расходов, утвержденных вышеуказанным Планом, за 2024 год составил 46 981,0 тыс. руб., из них:</w:t>
      </w:r>
      <w:r>
        <w:rPr>
          <w:bCs/>
          <w:sz w:val="24"/>
          <w:szCs w:val="24"/>
          <w:lang w:eastAsia="zh-CN"/>
        </w:rPr>
      </w:r>
      <w:r>
        <w:rPr>
          <w:bCs/>
          <w:sz w:val="24"/>
          <w:szCs w:val="24"/>
          <w:lang w:eastAsia="zh-CN"/>
        </w:rPr>
      </w:r>
    </w:p>
    <w:p>
      <w:pPr>
        <w:pStyle w:val="934"/>
        <w:ind w:firstLine="709"/>
        <w:jc w:val="both"/>
        <w:spacing w:line="300" w:lineRule="auto"/>
        <w:rPr>
          <w:bCs/>
          <w:sz w:val="24"/>
          <w:szCs w:val="24"/>
          <w:lang w:eastAsia="zh-CN"/>
        </w:rPr>
      </w:pPr>
      <w:r>
        <w:rPr>
          <w:bCs/>
          <w:sz w:val="24"/>
          <w:szCs w:val="24"/>
          <w:lang w:eastAsia="zh-CN"/>
        </w:rPr>
        <w:t xml:space="preserve">Полученный бюджетный эффект от реализации мероприятий по росту доходов бюджета Белоярского района составил 46 046,1 тыс. руб., или 106 % от уточнённого плана на 2024 год, в том числе в результате:</w:t>
      </w:r>
      <w:r>
        <w:rPr>
          <w:bCs/>
          <w:sz w:val="24"/>
          <w:szCs w:val="24"/>
          <w:lang w:eastAsia="zh-CN"/>
        </w:rPr>
      </w:r>
      <w:r>
        <w:rPr>
          <w:bCs/>
          <w:sz w:val="24"/>
          <w:szCs w:val="24"/>
          <w:lang w:eastAsia="zh-CN"/>
        </w:rPr>
      </w:r>
    </w:p>
    <w:p>
      <w:pPr>
        <w:pStyle w:val="934"/>
        <w:numPr>
          <w:ilvl w:val="0"/>
          <w:numId w:val="43"/>
        </w:numPr>
        <w:ind w:left="0" w:firstLine="709"/>
        <w:jc w:val="both"/>
        <w:spacing w:line="300" w:lineRule="auto"/>
        <w:tabs>
          <w:tab w:val="left" w:pos="993" w:leader="none"/>
        </w:tabs>
        <w:rPr>
          <w:bCs/>
          <w:color w:val="000000"/>
          <w:sz w:val="24"/>
          <w:szCs w:val="24"/>
          <w:lang w:eastAsia="zh-CN"/>
        </w:rPr>
      </w:pPr>
      <w:r>
        <w:rPr>
          <w:bCs/>
          <w:sz w:val="24"/>
          <w:szCs w:val="24"/>
          <w:lang w:eastAsia="zh-CN"/>
        </w:rPr>
        <w:t xml:space="preserve">корректировка перечня имущества, включенного в план приватизации на 2024 год с целью увеличения доходов бюджета</w:t>
      </w:r>
      <w:r>
        <w:rPr>
          <w:bCs/>
          <w:color w:val="000000"/>
          <w:sz w:val="24"/>
          <w:szCs w:val="24"/>
          <w:lang w:eastAsia="zh-CN"/>
        </w:rPr>
        <w:t xml:space="preserve"> Белоярского района – 3 972,7 тыс. </w:t>
      </w:r>
      <w:r>
        <w:rPr>
          <w:bCs/>
          <w:color w:val="000000"/>
          <w:sz w:val="24"/>
          <w:szCs w:val="24"/>
          <w:lang w:eastAsia="zh-CN"/>
        </w:rPr>
        <w:t xml:space="preserve">руб.</w:t>
      </w:r>
      <w:r>
        <w:rPr>
          <w:bCs/>
          <w:color w:val="000000"/>
          <w:sz w:val="24"/>
          <w:szCs w:val="24"/>
          <w:lang w:eastAsia="zh-CN"/>
        </w:rPr>
        <w:t xml:space="preserve">;</w:t>
      </w:r>
      <w:r>
        <w:rPr>
          <w:bCs/>
          <w:color w:val="000000"/>
          <w:sz w:val="24"/>
          <w:szCs w:val="24"/>
          <w:lang w:eastAsia="zh-CN"/>
        </w:rPr>
      </w:r>
      <w:r>
        <w:rPr>
          <w:bCs/>
          <w:color w:val="000000"/>
          <w:sz w:val="24"/>
          <w:szCs w:val="24"/>
          <w:lang w:eastAsia="zh-CN"/>
        </w:rPr>
      </w:r>
    </w:p>
    <w:p>
      <w:pPr>
        <w:pStyle w:val="934"/>
        <w:numPr>
          <w:ilvl w:val="0"/>
          <w:numId w:val="43"/>
        </w:numPr>
        <w:ind w:left="0" w:firstLine="709"/>
        <w:jc w:val="both"/>
        <w:spacing w:line="300" w:lineRule="auto"/>
        <w:tabs>
          <w:tab w:val="left" w:pos="993" w:leader="none"/>
        </w:tabs>
        <w:rPr>
          <w:bCs/>
          <w:color w:val="000000"/>
          <w:sz w:val="24"/>
          <w:szCs w:val="24"/>
          <w:lang w:eastAsia="zh-CN"/>
        </w:rPr>
      </w:pPr>
      <w:r>
        <w:rPr>
          <w:bCs/>
          <w:color w:val="000000"/>
          <w:sz w:val="24"/>
          <w:szCs w:val="24"/>
          <w:lang w:eastAsia="zh-CN"/>
        </w:rPr>
        <w:t xml:space="preserve">заключения соглашений о сотрудничестве с хозяйствующими субъектами, осуществляющими деятельность на территории Белоярского района – 35 186,0 тыс. </w:t>
      </w:r>
      <w:r>
        <w:rPr>
          <w:bCs/>
          <w:color w:val="000000"/>
          <w:sz w:val="24"/>
          <w:szCs w:val="24"/>
          <w:lang w:eastAsia="zh-CN"/>
        </w:rPr>
        <w:t xml:space="preserve">руб.</w:t>
      </w:r>
      <w:r>
        <w:rPr>
          <w:bCs/>
          <w:color w:val="000000"/>
          <w:sz w:val="24"/>
          <w:szCs w:val="24"/>
          <w:lang w:eastAsia="zh-CN"/>
        </w:rPr>
        <w:t xml:space="preserve">;</w:t>
      </w:r>
      <w:r>
        <w:rPr>
          <w:bCs/>
          <w:color w:val="000000"/>
          <w:sz w:val="24"/>
          <w:szCs w:val="24"/>
          <w:lang w:eastAsia="zh-CN"/>
        </w:rPr>
      </w:r>
      <w:r>
        <w:rPr>
          <w:bCs/>
          <w:color w:val="000000"/>
          <w:sz w:val="24"/>
          <w:szCs w:val="24"/>
          <w:lang w:eastAsia="zh-CN"/>
        </w:rPr>
      </w:r>
    </w:p>
    <w:p>
      <w:pPr>
        <w:pStyle w:val="934"/>
        <w:numPr>
          <w:ilvl w:val="0"/>
          <w:numId w:val="43"/>
        </w:numPr>
        <w:ind w:left="0" w:firstLine="709"/>
        <w:jc w:val="both"/>
        <w:spacing w:line="300" w:lineRule="auto"/>
        <w:tabs>
          <w:tab w:val="left" w:pos="993" w:leader="none"/>
        </w:tabs>
        <w:rPr>
          <w:rFonts w:eastAsia="Calibri"/>
          <w:bCs/>
          <w:color w:val="000000"/>
          <w:sz w:val="24"/>
          <w:szCs w:val="24"/>
          <w:lang w:eastAsia="en-US"/>
        </w:rPr>
      </w:pPr>
      <w:r>
        <w:rPr>
          <w:rFonts w:eastAsia="Calibri"/>
          <w:bCs/>
          <w:color w:val="000000"/>
          <w:sz w:val="24"/>
          <w:szCs w:val="24"/>
          <w:lang w:eastAsia="en-US"/>
        </w:rPr>
        <w:t xml:space="preserve">отслеживания выполнения условий муниципальных контрактов на поставку товаров, выполнение работ, оказание услуг для нужд Белоярского района и осуществление денежных взысканий (штрафов) за нарушение сроков исполнения муниципальных контрактов – 1 063,2 тыс. </w:t>
      </w:r>
      <w:r>
        <w:rPr>
          <w:rFonts w:eastAsia="Calibri"/>
          <w:bCs/>
          <w:color w:val="000000"/>
          <w:sz w:val="24"/>
          <w:szCs w:val="24"/>
          <w:lang w:eastAsia="en-US"/>
        </w:rPr>
        <w:t xml:space="preserve">руб.</w:t>
      </w:r>
      <w:r>
        <w:rPr>
          <w:rFonts w:eastAsia="Calibri"/>
          <w:bCs/>
          <w:color w:val="000000"/>
          <w:sz w:val="24"/>
          <w:szCs w:val="24"/>
          <w:lang w:eastAsia="en-US"/>
        </w:rPr>
        <w:t xml:space="preserve">;</w:t>
      </w:r>
      <w:r>
        <w:rPr>
          <w:rFonts w:eastAsia="Calibri"/>
          <w:bCs/>
          <w:color w:val="000000"/>
          <w:sz w:val="24"/>
          <w:szCs w:val="24"/>
          <w:lang w:eastAsia="en-US"/>
        </w:rPr>
      </w:r>
      <w:r>
        <w:rPr>
          <w:rFonts w:eastAsia="Calibri"/>
          <w:bCs/>
          <w:color w:val="000000"/>
          <w:sz w:val="24"/>
          <w:szCs w:val="24"/>
          <w:lang w:eastAsia="en-US"/>
        </w:rPr>
      </w:r>
    </w:p>
    <w:p>
      <w:pPr>
        <w:pStyle w:val="934"/>
        <w:numPr>
          <w:ilvl w:val="0"/>
          <w:numId w:val="43"/>
        </w:numPr>
        <w:ind w:left="0" w:firstLine="709"/>
        <w:jc w:val="both"/>
        <w:spacing w:line="300" w:lineRule="auto"/>
        <w:tabs>
          <w:tab w:val="left" w:pos="993" w:leader="none"/>
        </w:tabs>
        <w:rPr>
          <w:rFonts w:eastAsia="Calibri"/>
          <w:bCs/>
          <w:color w:val="000000"/>
          <w:sz w:val="24"/>
          <w:szCs w:val="24"/>
          <w:lang w:eastAsia="en-US"/>
        </w:rPr>
      </w:pPr>
      <w:r>
        <w:rPr>
          <w:rFonts w:eastAsia="Calibri"/>
          <w:bCs/>
          <w:color w:val="000000"/>
          <w:sz w:val="24"/>
          <w:szCs w:val="24"/>
          <w:lang w:eastAsia="en-US"/>
        </w:rPr>
        <w:t xml:space="preserve">взаимодействие с налоговыми органами по реализации мероприятий, направленных на снижение задолженности по налоговым платежам, зачисляемых в бюджет Белоярского района – 100,0 тыс. </w:t>
      </w:r>
      <w:r>
        <w:rPr>
          <w:rFonts w:eastAsia="Calibri"/>
          <w:bCs/>
          <w:color w:val="000000"/>
          <w:sz w:val="24"/>
          <w:szCs w:val="24"/>
          <w:lang w:eastAsia="en-US"/>
        </w:rPr>
        <w:t xml:space="preserve">руб.</w:t>
      </w:r>
      <w:r>
        <w:rPr>
          <w:rFonts w:eastAsia="Calibri"/>
          <w:bCs/>
          <w:color w:val="000000"/>
          <w:sz w:val="24"/>
          <w:szCs w:val="24"/>
          <w:lang w:eastAsia="en-US"/>
        </w:rPr>
        <w:t xml:space="preserve">;</w:t>
      </w:r>
      <w:r>
        <w:rPr>
          <w:rFonts w:eastAsia="Calibri"/>
          <w:bCs/>
          <w:color w:val="000000"/>
          <w:sz w:val="24"/>
          <w:szCs w:val="24"/>
          <w:lang w:eastAsia="en-US"/>
        </w:rPr>
      </w:r>
      <w:r>
        <w:rPr>
          <w:rFonts w:eastAsia="Calibri"/>
          <w:bCs/>
          <w:color w:val="000000"/>
          <w:sz w:val="24"/>
          <w:szCs w:val="24"/>
          <w:lang w:eastAsia="en-US"/>
        </w:rPr>
      </w:r>
    </w:p>
    <w:p>
      <w:pPr>
        <w:pStyle w:val="934"/>
        <w:numPr>
          <w:ilvl w:val="0"/>
          <w:numId w:val="43"/>
        </w:numPr>
        <w:ind w:left="0" w:firstLine="709"/>
        <w:jc w:val="both"/>
        <w:spacing w:line="300" w:lineRule="auto"/>
        <w:tabs>
          <w:tab w:val="left" w:pos="993" w:leader="none"/>
        </w:tabs>
        <w:rPr>
          <w:rFonts w:eastAsia="Calibri"/>
          <w:bCs/>
          <w:color w:val="000000"/>
          <w:sz w:val="24"/>
          <w:szCs w:val="24"/>
          <w:lang w:eastAsia="en-US"/>
        </w:rPr>
      </w:pPr>
      <w:r>
        <w:rPr>
          <w:rFonts w:eastAsia="Calibri"/>
          <w:bCs/>
          <w:color w:val="000000"/>
          <w:sz w:val="24"/>
          <w:szCs w:val="24"/>
          <w:lang w:eastAsia="en-US"/>
        </w:rPr>
        <w:t xml:space="preserve">ведение претензионно-исковой работы по погашению дебиторской задолженности по договорам аренды имущества и земельных участков – 5 078,0 тыс. </w:t>
      </w:r>
      <w:r>
        <w:rPr>
          <w:rFonts w:eastAsia="Calibri"/>
          <w:bCs/>
          <w:color w:val="000000"/>
          <w:sz w:val="24"/>
          <w:szCs w:val="24"/>
          <w:lang w:eastAsia="en-US"/>
        </w:rPr>
        <w:t xml:space="preserve">руб.</w:t>
      </w:r>
      <w:r>
        <w:rPr>
          <w:rFonts w:eastAsia="Calibri"/>
          <w:bCs/>
          <w:color w:val="000000"/>
          <w:sz w:val="24"/>
          <w:szCs w:val="24"/>
          <w:lang w:eastAsia="en-US"/>
        </w:rPr>
        <w:t xml:space="preserve">;</w:t>
      </w:r>
      <w:r>
        <w:rPr>
          <w:rFonts w:eastAsia="Calibri"/>
          <w:bCs/>
          <w:color w:val="000000"/>
          <w:sz w:val="24"/>
          <w:szCs w:val="24"/>
          <w:lang w:eastAsia="en-US"/>
        </w:rPr>
      </w:r>
      <w:r>
        <w:rPr>
          <w:rFonts w:eastAsia="Calibri"/>
          <w:bCs/>
          <w:color w:val="000000"/>
          <w:sz w:val="24"/>
          <w:szCs w:val="24"/>
          <w:lang w:eastAsia="en-US"/>
        </w:rPr>
      </w:r>
    </w:p>
    <w:p>
      <w:pPr>
        <w:pStyle w:val="934"/>
        <w:numPr>
          <w:ilvl w:val="0"/>
          <w:numId w:val="43"/>
        </w:numPr>
        <w:ind w:left="0" w:firstLine="709"/>
        <w:jc w:val="both"/>
        <w:spacing w:line="300" w:lineRule="auto"/>
        <w:tabs>
          <w:tab w:val="left" w:pos="993" w:leader="none"/>
        </w:tabs>
        <w:rPr>
          <w:color w:val="000000"/>
          <w:sz w:val="24"/>
          <w:szCs w:val="24"/>
          <w:lang w:eastAsia="zh-CN"/>
        </w:rPr>
      </w:pPr>
      <w:r>
        <w:rPr>
          <w:bCs/>
          <w:color w:val="000000"/>
          <w:sz w:val="24"/>
          <w:szCs w:val="24"/>
          <w:lang w:eastAsia="zh-CN"/>
        </w:rPr>
        <w:t xml:space="preserve">анализа эффективности осуществляемых ранее мер поддержки и стимулирования деятельности субъектов малого и среднего предпринимательства – 646,2</w:t>
      </w:r>
      <w:r>
        <w:rPr>
          <w:color w:val="000000"/>
          <w:sz w:val="24"/>
          <w:szCs w:val="24"/>
          <w:lang w:eastAsia="zh-CN"/>
        </w:rPr>
        <w:t xml:space="preserve"> тыс. </w:t>
      </w:r>
      <w:r>
        <w:rPr>
          <w:color w:val="000000"/>
          <w:sz w:val="24"/>
          <w:szCs w:val="24"/>
          <w:lang w:eastAsia="zh-CN"/>
        </w:rPr>
        <w:t xml:space="preserve">руб</w:t>
      </w:r>
      <w:r>
        <w:rPr>
          <w:color w:val="000000"/>
          <w:sz w:val="24"/>
          <w:szCs w:val="24"/>
          <w:lang w:eastAsia="zh-CN"/>
        </w:rPr>
        <w:t xml:space="preserve">.</w:t>
      </w:r>
      <w:r>
        <w:rPr>
          <w:color w:val="000000"/>
          <w:sz w:val="24"/>
          <w:szCs w:val="24"/>
          <w:lang w:eastAsia="zh-CN"/>
        </w:rPr>
      </w:r>
      <w:r>
        <w:rPr>
          <w:color w:val="000000"/>
          <w:sz w:val="24"/>
          <w:szCs w:val="24"/>
          <w:lang w:eastAsia="zh-CN"/>
        </w:rPr>
      </w:r>
    </w:p>
    <w:p>
      <w:pPr>
        <w:pStyle w:val="934"/>
        <w:ind w:firstLine="709"/>
        <w:jc w:val="both"/>
        <w:spacing w:line="300" w:lineRule="auto"/>
        <w:rPr>
          <w:bCs/>
          <w:color w:val="000000"/>
          <w:sz w:val="24"/>
          <w:szCs w:val="24"/>
          <w:lang w:eastAsia="zh-CN"/>
        </w:rPr>
      </w:pPr>
      <w:r>
        <w:rPr>
          <w:bCs/>
          <w:color w:val="000000"/>
          <w:sz w:val="24"/>
          <w:szCs w:val="24"/>
          <w:lang w:eastAsia="zh-CN"/>
        </w:rPr>
        <w:t xml:space="preserve">Полученный бюджетный эффект от реализации мероприятий по оптимизации расходов бюджета Белоярского района составил 934,9 тыс. </w:t>
      </w:r>
      <w:r>
        <w:rPr>
          <w:bCs/>
          <w:color w:val="000000"/>
          <w:sz w:val="24"/>
          <w:szCs w:val="24"/>
          <w:lang w:eastAsia="zh-CN"/>
        </w:rPr>
        <w:t xml:space="preserve">руб.</w:t>
      </w:r>
      <w:r>
        <w:rPr>
          <w:bCs/>
          <w:color w:val="000000"/>
          <w:sz w:val="24"/>
          <w:szCs w:val="24"/>
          <w:lang w:eastAsia="zh-CN"/>
        </w:rPr>
        <w:t xml:space="preserve">, или 100,0 % от плана на 2024 год, в том числе в результате:</w:t>
      </w:r>
      <w:r>
        <w:rPr>
          <w:bCs/>
          <w:color w:val="000000"/>
          <w:sz w:val="24"/>
          <w:szCs w:val="24"/>
          <w:lang w:eastAsia="zh-CN"/>
        </w:rPr>
      </w:r>
      <w:r>
        <w:rPr>
          <w:bCs/>
          <w:color w:val="000000"/>
          <w:sz w:val="24"/>
          <w:szCs w:val="24"/>
          <w:lang w:eastAsia="zh-CN"/>
        </w:rPr>
      </w:r>
    </w:p>
    <w:p>
      <w:pPr>
        <w:pStyle w:val="934"/>
        <w:numPr>
          <w:ilvl w:val="0"/>
          <w:numId w:val="44"/>
        </w:numPr>
        <w:ind w:left="0" w:firstLine="709"/>
        <w:jc w:val="both"/>
        <w:spacing w:line="300" w:lineRule="auto"/>
        <w:tabs>
          <w:tab w:val="left" w:pos="993" w:leader="none"/>
        </w:tabs>
        <w:rPr>
          <w:bCs/>
          <w:color w:val="000000"/>
          <w:sz w:val="24"/>
          <w:szCs w:val="24"/>
          <w:lang w:eastAsia="zh-CN"/>
        </w:rPr>
      </w:pPr>
      <w:r>
        <w:rPr>
          <w:bCs/>
          <w:color w:val="000000"/>
          <w:sz w:val="24"/>
          <w:szCs w:val="24"/>
          <w:lang w:eastAsia="zh-CN"/>
        </w:rPr>
        <w:t xml:space="preserve">снижения цены муниципальных контрактов в результате применения конкурентных процедур – 622,1 тыс. </w:t>
      </w:r>
      <w:r>
        <w:rPr>
          <w:bCs/>
          <w:color w:val="000000"/>
          <w:sz w:val="24"/>
          <w:szCs w:val="24"/>
          <w:lang w:eastAsia="zh-CN"/>
        </w:rPr>
        <w:t xml:space="preserve">руб.</w:t>
      </w:r>
      <w:r>
        <w:rPr>
          <w:bCs/>
          <w:color w:val="000000"/>
          <w:sz w:val="24"/>
          <w:szCs w:val="24"/>
          <w:lang w:eastAsia="zh-CN"/>
        </w:rPr>
        <w:t xml:space="preserve">;</w:t>
      </w:r>
      <w:r>
        <w:rPr>
          <w:bCs/>
          <w:color w:val="000000"/>
          <w:sz w:val="24"/>
          <w:szCs w:val="24"/>
          <w:lang w:eastAsia="zh-CN"/>
        </w:rPr>
      </w:r>
      <w:r>
        <w:rPr>
          <w:bCs/>
          <w:color w:val="000000"/>
          <w:sz w:val="24"/>
          <w:szCs w:val="24"/>
          <w:lang w:eastAsia="zh-CN"/>
        </w:rPr>
      </w:r>
    </w:p>
    <w:p>
      <w:pPr>
        <w:pStyle w:val="934"/>
        <w:numPr>
          <w:ilvl w:val="0"/>
          <w:numId w:val="44"/>
        </w:numPr>
        <w:ind w:left="0" w:firstLine="709"/>
        <w:jc w:val="both"/>
        <w:spacing w:line="300" w:lineRule="auto"/>
        <w:tabs>
          <w:tab w:val="left" w:pos="993" w:leader="none"/>
        </w:tabs>
        <w:rPr>
          <w:b/>
          <w:bCs/>
          <w:color w:val="ff0000"/>
          <w:sz w:val="24"/>
          <w:szCs w:val="24"/>
          <w:lang w:eastAsia="zh-CN"/>
        </w:rPr>
      </w:pPr>
      <w:r>
        <w:rPr>
          <w:bCs/>
          <w:color w:val="000000"/>
          <w:sz w:val="24"/>
          <w:szCs w:val="24"/>
          <w:lang w:eastAsia="zh-CN"/>
        </w:rPr>
        <w:t xml:space="preserve">проведения мероприятий по энергосбережению – 312,8 тыс. </w:t>
      </w:r>
      <w:r>
        <w:rPr>
          <w:bCs/>
          <w:color w:val="000000"/>
          <w:sz w:val="24"/>
          <w:szCs w:val="24"/>
          <w:lang w:eastAsia="zh-CN"/>
        </w:rPr>
        <w:t xml:space="preserve">руб.</w:t>
      </w:r>
      <w:r>
        <w:rPr>
          <w:b/>
          <w:bCs/>
          <w:color w:val="ff0000"/>
          <w:sz w:val="24"/>
          <w:szCs w:val="24"/>
          <w:lang w:eastAsia="zh-CN"/>
        </w:rPr>
      </w:r>
      <w:r>
        <w:rPr>
          <w:b/>
          <w:bCs/>
          <w:color w:val="ff0000"/>
          <w:sz w:val="24"/>
          <w:szCs w:val="24"/>
          <w:lang w:eastAsia="zh-CN"/>
        </w:rPr>
      </w:r>
    </w:p>
    <w:p>
      <w:pPr>
        <w:pStyle w:val="934"/>
        <w:ind w:firstLine="709"/>
        <w:jc w:val="center"/>
        <w:spacing w:line="300" w:lineRule="auto"/>
        <w:rPr>
          <w:sz w:val="24"/>
          <w:szCs w:val="24"/>
        </w:rPr>
      </w:pPr>
      <w:r>
        <w:rPr>
          <w:sz w:val="24"/>
          <w:szCs w:val="24"/>
        </w:rPr>
      </w:r>
      <w:r>
        <w:rPr>
          <w:sz w:val="24"/>
          <w:szCs w:val="24"/>
        </w:rPr>
      </w:r>
      <w:r>
        <w:rPr>
          <w:sz w:val="24"/>
          <w:szCs w:val="24"/>
        </w:rPr>
      </w:r>
    </w:p>
    <w:p>
      <w:pPr>
        <w:pStyle w:val="934"/>
        <w:ind w:firstLine="709"/>
        <w:jc w:val="center"/>
        <w:rPr>
          <w:b/>
          <w:sz w:val="24"/>
          <w:szCs w:val="24"/>
        </w:rPr>
      </w:pPr>
      <w:r>
        <w:rPr>
          <w:b/>
          <w:sz w:val="24"/>
          <w:szCs w:val="24"/>
        </w:rPr>
        <w:t xml:space="preserve">Реализация муниципальных программ</w:t>
      </w:r>
      <w:r>
        <w:rPr>
          <w:b/>
          <w:sz w:val="24"/>
          <w:szCs w:val="24"/>
        </w:rPr>
      </w:r>
      <w:r>
        <w:rPr>
          <w:b/>
          <w:sz w:val="24"/>
          <w:szCs w:val="24"/>
        </w:rPr>
      </w:r>
    </w:p>
    <w:p>
      <w:pPr>
        <w:pStyle w:val="934"/>
        <w:ind w:firstLine="708"/>
        <w:jc w:val="both"/>
        <w:rPr>
          <w:sz w:val="24"/>
          <w:szCs w:val="24"/>
        </w:rPr>
      </w:pPr>
      <w:r>
        <w:rPr>
          <w:sz w:val="24"/>
          <w:szCs w:val="24"/>
        </w:rPr>
      </w:r>
      <w:r>
        <w:rPr>
          <w:sz w:val="24"/>
          <w:szCs w:val="24"/>
        </w:rPr>
      </w:r>
      <w:r>
        <w:rPr>
          <w:sz w:val="24"/>
          <w:szCs w:val="24"/>
        </w:rPr>
      </w:r>
    </w:p>
    <w:p>
      <w:pPr>
        <w:pStyle w:val="934"/>
        <w:ind w:firstLine="708"/>
        <w:jc w:val="both"/>
        <w:spacing w:line="276" w:lineRule="auto"/>
        <w:rPr>
          <w:sz w:val="24"/>
          <w:szCs w:val="24"/>
        </w:rPr>
      </w:pPr>
      <w:r>
        <w:rPr>
          <w:sz w:val="24"/>
          <w:szCs w:val="24"/>
        </w:rPr>
        <w:t xml:space="preserve">Органы местного самоуправления Белоярского района осуществляют разработку, реализацию и управление муниципальными программами, обеспечивают целевое и эффективное использование </w:t>
      </w:r>
      <w:r>
        <w:rPr>
          <w:sz w:val="24"/>
          <w:szCs w:val="24"/>
        </w:rPr>
        <w:t xml:space="preserve">бюджетных средств</w:t>
      </w:r>
      <w:r>
        <w:rPr>
          <w:sz w:val="24"/>
          <w:szCs w:val="24"/>
        </w:rPr>
        <w:t xml:space="preserve">, выделяемых на их реализацию, а также несут ответственность за достижение целевых показателей программы.</w:t>
      </w:r>
      <w:r>
        <w:rPr>
          <w:sz w:val="24"/>
          <w:szCs w:val="24"/>
        </w:rPr>
      </w:r>
      <w:r>
        <w:rPr>
          <w:sz w:val="24"/>
          <w:szCs w:val="24"/>
        </w:rPr>
      </w:r>
    </w:p>
    <w:p>
      <w:pPr>
        <w:pStyle w:val="934"/>
        <w:ind w:firstLine="708"/>
        <w:jc w:val="both"/>
        <w:spacing w:line="276" w:lineRule="auto"/>
        <w:rPr>
          <w:sz w:val="24"/>
          <w:szCs w:val="24"/>
        </w:rPr>
      </w:pPr>
      <w:r>
        <w:rPr>
          <w:sz w:val="24"/>
          <w:szCs w:val="24"/>
        </w:rPr>
        <w:t xml:space="preserve">При реализации муниципальных программ в зависимости от достигнутых результатов органы местного с</w:t>
      </w:r>
      <w:r>
        <w:rPr>
          <w:sz w:val="24"/>
          <w:szCs w:val="24"/>
        </w:rPr>
        <w:t xml:space="preserve">амоуправления Белоярского района вносят изменения в состав соисполнителей, мероприятия и целевые показатели, а также приводят объемы финансирования программ в соответствие с решением о бюджете Белоярского района на текущий финансовый год и плановый период.</w:t>
      </w:r>
      <w:r>
        <w:rPr>
          <w:sz w:val="24"/>
          <w:szCs w:val="24"/>
        </w:rPr>
      </w:r>
      <w:r>
        <w:rPr>
          <w:sz w:val="24"/>
          <w:szCs w:val="24"/>
        </w:rPr>
      </w:r>
    </w:p>
    <w:p>
      <w:pPr>
        <w:pStyle w:val="934"/>
        <w:ind w:firstLine="708"/>
        <w:jc w:val="both"/>
        <w:spacing w:line="276" w:lineRule="auto"/>
        <w:rPr>
          <w:sz w:val="24"/>
          <w:szCs w:val="24"/>
        </w:rPr>
      </w:pPr>
      <w:r>
        <w:rPr>
          <w:sz w:val="24"/>
          <w:szCs w:val="24"/>
        </w:rPr>
        <w:t xml:space="preserve">В</w:t>
      </w:r>
      <w:r>
        <w:rPr>
          <w:sz w:val="24"/>
          <w:szCs w:val="24"/>
        </w:rPr>
        <w:t xml:space="preserve"> </w:t>
      </w:r>
      <w:r>
        <w:rPr>
          <w:sz w:val="24"/>
          <w:szCs w:val="24"/>
        </w:rPr>
        <w:t xml:space="preserve">2024 год</w:t>
      </w:r>
      <w:r>
        <w:rPr>
          <w:sz w:val="24"/>
          <w:szCs w:val="24"/>
        </w:rPr>
        <w:t xml:space="preserve"> </w:t>
      </w:r>
      <w:r>
        <w:rPr>
          <w:sz w:val="24"/>
          <w:szCs w:val="24"/>
        </w:rPr>
        <w:t xml:space="preserve">реализовывались мероприятия 20 муниципальных программ Белоярского района.  Подготовлен </w:t>
      </w:r>
      <w:r>
        <w:rPr>
          <w:sz w:val="24"/>
          <w:szCs w:val="24"/>
        </w:rPr>
        <w:t xml:space="preserve">81</w:t>
      </w:r>
      <w:r>
        <w:rPr>
          <w:sz w:val="24"/>
          <w:szCs w:val="24"/>
        </w:rPr>
        <w:t xml:space="preserve"> муниципальны</w:t>
      </w:r>
      <w:r>
        <w:rPr>
          <w:sz w:val="24"/>
          <w:szCs w:val="24"/>
        </w:rPr>
        <w:t xml:space="preserve">й</w:t>
      </w:r>
      <w:r>
        <w:rPr>
          <w:sz w:val="24"/>
          <w:szCs w:val="24"/>
        </w:rPr>
        <w:t xml:space="preserve"> нормативно-правов</w:t>
      </w:r>
      <w:r>
        <w:rPr>
          <w:sz w:val="24"/>
          <w:szCs w:val="24"/>
        </w:rPr>
        <w:t xml:space="preserve">ой</w:t>
      </w:r>
      <w:r>
        <w:rPr>
          <w:sz w:val="24"/>
          <w:szCs w:val="24"/>
        </w:rPr>
        <w:t xml:space="preserve"> акт о внесении изменений в муниципальные программы Белоярского района.</w:t>
      </w:r>
      <w:r>
        <w:rPr>
          <w:sz w:val="24"/>
          <w:szCs w:val="24"/>
        </w:rPr>
        <w:t xml:space="preserve"> </w:t>
      </w:r>
      <w:r>
        <w:rPr>
          <w:sz w:val="24"/>
          <w:szCs w:val="24"/>
        </w:rPr>
        <w:t xml:space="preserve">М</w:t>
      </w:r>
      <w:r>
        <w:rPr>
          <w:sz w:val="24"/>
          <w:szCs w:val="24"/>
        </w:rPr>
        <w:t xml:space="preserve">униципальные программы сроком исполнения </w:t>
      </w:r>
      <w:r>
        <w:rPr>
          <w:sz w:val="24"/>
          <w:szCs w:val="24"/>
        </w:rPr>
        <w:t xml:space="preserve">до</w:t>
      </w:r>
      <w:r>
        <w:rPr>
          <w:sz w:val="24"/>
          <w:szCs w:val="24"/>
        </w:rPr>
        <w:t xml:space="preserve"> 2026 год</w:t>
      </w:r>
      <w:r>
        <w:rPr>
          <w:sz w:val="24"/>
          <w:szCs w:val="24"/>
        </w:rPr>
        <w:t xml:space="preserve">а</w:t>
      </w:r>
      <w:r>
        <w:rPr>
          <w:sz w:val="24"/>
          <w:szCs w:val="24"/>
        </w:rPr>
        <w:t xml:space="preserve"> досрочно прекращены. </w:t>
      </w:r>
      <w:r>
        <w:rPr>
          <w:sz w:val="24"/>
          <w:szCs w:val="24"/>
        </w:rPr>
      </w:r>
      <w:r>
        <w:rPr>
          <w:sz w:val="24"/>
          <w:szCs w:val="24"/>
        </w:rPr>
      </w:r>
    </w:p>
    <w:p>
      <w:pPr>
        <w:pStyle w:val="934"/>
        <w:ind w:firstLine="708"/>
        <w:jc w:val="both"/>
        <w:spacing w:line="276" w:lineRule="auto"/>
        <w:rPr>
          <w:sz w:val="24"/>
          <w:szCs w:val="24"/>
        </w:rPr>
      </w:pPr>
      <w:r>
        <w:rPr>
          <w:sz w:val="24"/>
          <w:szCs w:val="24"/>
        </w:rPr>
        <w:t xml:space="preserve">В</w:t>
      </w:r>
      <w:r>
        <w:rPr>
          <w:sz w:val="24"/>
          <w:szCs w:val="24"/>
        </w:rPr>
        <w:t xml:space="preserve"> целях обеспечения единого подхода к формированию </w:t>
      </w:r>
      <w:r>
        <w:rPr>
          <w:sz w:val="24"/>
          <w:szCs w:val="24"/>
        </w:rPr>
        <w:t xml:space="preserve">окружного и </w:t>
      </w:r>
      <w:r>
        <w:rPr>
          <w:sz w:val="24"/>
          <w:szCs w:val="24"/>
        </w:rPr>
        <w:t xml:space="preserve">местн</w:t>
      </w:r>
      <w:r>
        <w:rPr>
          <w:sz w:val="24"/>
          <w:szCs w:val="24"/>
        </w:rPr>
        <w:t xml:space="preserve">ого</w:t>
      </w:r>
      <w:r>
        <w:rPr>
          <w:sz w:val="24"/>
          <w:szCs w:val="24"/>
        </w:rPr>
        <w:t xml:space="preserve"> бюджет</w:t>
      </w:r>
      <w:r>
        <w:rPr>
          <w:sz w:val="24"/>
          <w:szCs w:val="24"/>
        </w:rPr>
        <w:t xml:space="preserve">а </w:t>
      </w:r>
      <w:r>
        <w:rPr>
          <w:sz w:val="24"/>
          <w:szCs w:val="24"/>
        </w:rPr>
        <w:t xml:space="preserve">на территории региона, администрацией Белоярского райо</w:t>
      </w:r>
      <w:r>
        <w:rPr>
          <w:sz w:val="24"/>
          <w:szCs w:val="24"/>
        </w:rPr>
        <w:t xml:space="preserve">на разработаны и утверждены 20 </w:t>
      </w:r>
      <w:r>
        <w:rPr>
          <w:sz w:val="24"/>
          <w:szCs w:val="24"/>
        </w:rPr>
        <w:t xml:space="preserve">новых муниципальных программ Белоярского района, предлагаемые к реализации на период с 2025 по 2030 годы. </w:t>
      </w:r>
      <w:r>
        <w:rPr>
          <w:sz w:val="24"/>
          <w:szCs w:val="24"/>
        </w:rPr>
        <w:t xml:space="preserve"> Данные м</w:t>
      </w:r>
      <w:r>
        <w:rPr>
          <w:sz w:val="24"/>
          <w:szCs w:val="24"/>
        </w:rPr>
        <w:t xml:space="preserve">униципальные программы Белоярского района сформированы с учетом реализации на территории района региональных проектов автономного округа, направленных на достижение целей, показателей и решение зад</w:t>
      </w:r>
      <w:r>
        <w:rPr>
          <w:sz w:val="24"/>
          <w:szCs w:val="24"/>
        </w:rPr>
        <w:t xml:space="preserve">ач национальных проектов в соответствии с Указом Президента Российской Федерации от 7 мая 2024 года № 309 «О национальных целях развития Российской Федерации на период до 2030 года и на перспективу до 2036 года в Ханты-Мансийском автономном округе – Югре».</w:t>
      </w:r>
      <w:r>
        <w:rPr>
          <w:sz w:val="24"/>
          <w:szCs w:val="24"/>
        </w:rPr>
      </w:r>
      <w:r>
        <w:rPr>
          <w:sz w:val="24"/>
          <w:szCs w:val="24"/>
        </w:rPr>
      </w:r>
    </w:p>
    <w:p>
      <w:pPr>
        <w:pStyle w:val="934"/>
        <w:ind w:firstLine="708"/>
        <w:jc w:val="both"/>
        <w:spacing w:line="276" w:lineRule="auto"/>
        <w:rPr>
          <w:sz w:val="24"/>
          <w:szCs w:val="24"/>
        </w:rPr>
      </w:pPr>
      <w:r>
        <w:rPr>
          <w:sz w:val="24"/>
          <w:szCs w:val="24"/>
        </w:rPr>
        <w:t xml:space="preserve">Кассовые расходы</w:t>
      </w:r>
      <w:r>
        <w:rPr>
          <w:sz w:val="24"/>
          <w:szCs w:val="24"/>
        </w:rPr>
        <w:t xml:space="preserve"> за 2024 года</w:t>
      </w:r>
      <w:r>
        <w:rPr>
          <w:sz w:val="24"/>
          <w:szCs w:val="24"/>
        </w:rPr>
        <w:t xml:space="preserve"> на реализацию мероприятий муниципальных программ Белоярского района составили </w:t>
      </w:r>
      <w:r>
        <w:rPr>
          <w:sz w:val="24"/>
          <w:szCs w:val="24"/>
        </w:rPr>
        <w:t xml:space="preserve"> 6 475,8 </w:t>
      </w:r>
      <w:r>
        <w:rPr>
          <w:sz w:val="24"/>
          <w:szCs w:val="24"/>
        </w:rPr>
        <w:t xml:space="preserve">млн. руб. (</w:t>
      </w:r>
      <w:r>
        <w:rPr>
          <w:sz w:val="24"/>
          <w:szCs w:val="24"/>
        </w:rPr>
        <w:t xml:space="preserve">98,2</w:t>
      </w:r>
      <w:r>
        <w:rPr>
          <w:sz w:val="24"/>
          <w:szCs w:val="24"/>
        </w:rPr>
        <w:t xml:space="preserve">% от утвержденных лимитов финансирования</w:t>
      </w:r>
      <w:r>
        <w:rPr>
          <w:sz w:val="24"/>
          <w:szCs w:val="24"/>
        </w:rPr>
        <w:t xml:space="preserve">), в том числе за счет средств:</w:t>
      </w:r>
      <w:r>
        <w:rPr>
          <w:sz w:val="24"/>
          <w:szCs w:val="24"/>
        </w:rPr>
      </w:r>
      <w:r>
        <w:rPr>
          <w:sz w:val="24"/>
          <w:szCs w:val="24"/>
        </w:rPr>
      </w:r>
    </w:p>
    <w:p>
      <w:pPr>
        <w:pStyle w:val="934"/>
        <w:ind w:firstLine="708"/>
        <w:jc w:val="both"/>
        <w:spacing w:line="276" w:lineRule="auto"/>
        <w:rPr>
          <w:sz w:val="24"/>
          <w:szCs w:val="24"/>
        </w:rPr>
      </w:pPr>
      <w:r>
        <w:rPr>
          <w:sz w:val="24"/>
          <w:szCs w:val="24"/>
        </w:rPr>
        <w:t xml:space="preserve">федерального бюджета – </w:t>
      </w:r>
      <w:r>
        <w:rPr>
          <w:sz w:val="24"/>
          <w:szCs w:val="24"/>
        </w:rPr>
        <w:t xml:space="preserve">87,3</w:t>
      </w:r>
      <w:r>
        <w:rPr>
          <w:sz w:val="24"/>
          <w:szCs w:val="24"/>
        </w:rPr>
        <w:t xml:space="preserve"> млн. руб. (</w:t>
      </w:r>
      <w:r>
        <w:rPr>
          <w:sz w:val="24"/>
          <w:szCs w:val="24"/>
        </w:rPr>
        <w:t xml:space="preserve">100% </w:t>
      </w:r>
      <w:r>
        <w:rPr>
          <w:sz w:val="24"/>
          <w:szCs w:val="24"/>
        </w:rPr>
        <w:t xml:space="preserve">от утвержденных лимитов финансирования</w:t>
      </w:r>
      <w:r>
        <w:rPr>
          <w:sz w:val="24"/>
          <w:szCs w:val="24"/>
        </w:rPr>
        <w:t xml:space="preserve">);</w:t>
      </w:r>
      <w:r>
        <w:rPr>
          <w:sz w:val="24"/>
          <w:szCs w:val="24"/>
        </w:rPr>
      </w:r>
      <w:r>
        <w:rPr>
          <w:sz w:val="24"/>
          <w:szCs w:val="24"/>
        </w:rPr>
      </w:r>
    </w:p>
    <w:p>
      <w:pPr>
        <w:pStyle w:val="934"/>
        <w:ind w:firstLine="708"/>
        <w:jc w:val="both"/>
        <w:spacing w:line="276" w:lineRule="auto"/>
        <w:rPr>
          <w:sz w:val="24"/>
          <w:szCs w:val="24"/>
        </w:rPr>
      </w:pPr>
      <w:r>
        <w:rPr>
          <w:sz w:val="24"/>
          <w:szCs w:val="24"/>
        </w:rPr>
        <w:t xml:space="preserve">бюджета автономного округа –  </w:t>
      </w:r>
      <w:r>
        <w:rPr>
          <w:sz w:val="24"/>
          <w:szCs w:val="24"/>
        </w:rPr>
        <w:t xml:space="preserve">4 086,5</w:t>
      </w:r>
      <w:r>
        <w:rPr>
          <w:sz w:val="24"/>
          <w:szCs w:val="24"/>
        </w:rPr>
        <w:t xml:space="preserve"> млн. руб. (</w:t>
      </w:r>
      <w:r>
        <w:rPr>
          <w:sz w:val="24"/>
          <w:szCs w:val="24"/>
        </w:rPr>
        <w:t xml:space="preserve">98,9</w:t>
      </w:r>
      <w:r>
        <w:rPr>
          <w:sz w:val="24"/>
          <w:szCs w:val="24"/>
        </w:rPr>
        <w:t xml:space="preserve">% </w:t>
      </w:r>
      <w:r>
        <w:rPr>
          <w:sz w:val="24"/>
          <w:szCs w:val="24"/>
        </w:rPr>
        <w:t xml:space="preserve">от утвержденных лимитов финансирования</w:t>
      </w:r>
      <w:r>
        <w:rPr>
          <w:sz w:val="24"/>
          <w:szCs w:val="24"/>
        </w:rPr>
        <w:t xml:space="preserve">, 100% от поступивших средств);</w:t>
      </w:r>
      <w:r>
        <w:rPr>
          <w:sz w:val="24"/>
          <w:szCs w:val="24"/>
        </w:rPr>
      </w:r>
      <w:r>
        <w:rPr>
          <w:sz w:val="24"/>
          <w:szCs w:val="24"/>
        </w:rPr>
      </w:r>
    </w:p>
    <w:p>
      <w:pPr>
        <w:pStyle w:val="934"/>
        <w:ind w:firstLine="708"/>
        <w:jc w:val="both"/>
        <w:spacing w:line="276" w:lineRule="auto"/>
        <w:rPr>
          <w:sz w:val="24"/>
          <w:szCs w:val="24"/>
        </w:rPr>
      </w:pPr>
      <w:r>
        <w:rPr>
          <w:sz w:val="24"/>
          <w:szCs w:val="24"/>
        </w:rPr>
        <w:t xml:space="preserve">бюджета Белоярского района –  </w:t>
      </w:r>
      <w:r>
        <w:rPr>
          <w:sz w:val="24"/>
          <w:szCs w:val="24"/>
        </w:rPr>
        <w:t xml:space="preserve">2 302,0</w:t>
      </w:r>
      <w:r>
        <w:rPr>
          <w:sz w:val="24"/>
          <w:szCs w:val="24"/>
        </w:rPr>
        <w:t xml:space="preserve"> млн. руб. (</w:t>
      </w:r>
      <w:r>
        <w:rPr>
          <w:sz w:val="24"/>
          <w:szCs w:val="24"/>
        </w:rPr>
        <w:t xml:space="preserve">96,8</w:t>
      </w:r>
      <w:r>
        <w:rPr>
          <w:sz w:val="24"/>
          <w:szCs w:val="24"/>
        </w:rPr>
        <w:t xml:space="preserve">% от годовых лимитов).</w:t>
      </w:r>
      <w:r>
        <w:rPr>
          <w:sz w:val="24"/>
          <w:szCs w:val="24"/>
        </w:rPr>
      </w:r>
      <w:r>
        <w:rPr>
          <w:sz w:val="24"/>
          <w:szCs w:val="24"/>
        </w:rPr>
      </w:r>
    </w:p>
    <w:p>
      <w:pPr>
        <w:pStyle w:val="934"/>
        <w:ind w:firstLine="708"/>
        <w:jc w:val="both"/>
        <w:spacing w:line="276" w:lineRule="auto"/>
        <w:rPr>
          <w:sz w:val="24"/>
          <w:szCs w:val="24"/>
        </w:rPr>
      </w:pPr>
      <w:r>
        <w:rPr>
          <w:sz w:val="24"/>
          <w:szCs w:val="24"/>
        </w:rPr>
        <w:t xml:space="preserve">Белоярский район принимает участие в реал</w:t>
      </w:r>
      <w:r>
        <w:rPr>
          <w:sz w:val="24"/>
          <w:szCs w:val="24"/>
        </w:rPr>
        <w:t xml:space="preserve">изации 6 нацпроектов: «Демография», «Образование», «Культура», «Жилье и городская среда», «Малое и среднее предпринимательство и поддержка индивидуальной предпринимательской инициативы», «Экология», из которых 4 национальных проекта обеспечены финансирован</w:t>
      </w:r>
      <w:r>
        <w:rPr>
          <w:sz w:val="24"/>
          <w:szCs w:val="24"/>
        </w:rPr>
        <w:t xml:space="preserve">ием.</w:t>
      </w:r>
      <w:r>
        <w:rPr>
          <w:sz w:val="24"/>
          <w:szCs w:val="24"/>
        </w:rPr>
      </w:r>
      <w:r>
        <w:rPr>
          <w:sz w:val="24"/>
          <w:szCs w:val="24"/>
        </w:rPr>
      </w:r>
    </w:p>
    <w:p>
      <w:pPr>
        <w:pStyle w:val="934"/>
        <w:ind w:firstLine="708"/>
        <w:jc w:val="both"/>
        <w:spacing w:line="276" w:lineRule="auto"/>
        <w:rPr>
          <w:rFonts w:eastAsia="Calibri"/>
          <w:bCs/>
          <w:sz w:val="24"/>
          <w:szCs w:val="24"/>
        </w:rPr>
      </w:pPr>
      <w:r>
        <w:rPr>
          <w:sz w:val="24"/>
          <w:szCs w:val="24"/>
        </w:rPr>
        <w:t xml:space="preserve">На реализацию национальных проектов в 2024 году направлено 1 248,4 млн.руб. (100</w:t>
      </w:r>
      <w:r>
        <w:rPr>
          <w:rFonts w:eastAsia="Calibri"/>
          <w:bCs/>
          <w:sz w:val="24"/>
          <w:szCs w:val="24"/>
        </w:rPr>
        <w:t xml:space="preserve">% от </w:t>
      </w:r>
      <w:r>
        <w:rPr>
          <w:sz w:val="24"/>
          <w:szCs w:val="24"/>
        </w:rPr>
        <w:t xml:space="preserve">утвержденных лимитов финансирования</w:t>
      </w:r>
      <w:r>
        <w:rPr>
          <w:sz w:val="24"/>
          <w:szCs w:val="24"/>
        </w:rPr>
        <w:t xml:space="preserve">)</w:t>
      </w:r>
      <w:r>
        <w:rPr>
          <w:rFonts w:eastAsia="Calibri"/>
          <w:bCs/>
          <w:sz w:val="24"/>
          <w:szCs w:val="24"/>
        </w:rPr>
        <w:t xml:space="preserve">, в том числе:</w:t>
      </w:r>
      <w:r>
        <w:rPr>
          <w:rFonts w:eastAsia="Calibri"/>
          <w:bCs/>
          <w:sz w:val="24"/>
          <w:szCs w:val="24"/>
        </w:rPr>
      </w:r>
      <w:r>
        <w:rPr>
          <w:rFonts w:eastAsia="Calibri"/>
          <w:bCs/>
          <w:sz w:val="24"/>
          <w:szCs w:val="24"/>
        </w:rPr>
      </w:r>
    </w:p>
    <w:p>
      <w:pPr>
        <w:pStyle w:val="934"/>
        <w:ind w:firstLine="708"/>
        <w:jc w:val="both"/>
        <w:spacing w:line="276" w:lineRule="auto"/>
        <w:rPr>
          <w:rFonts w:eastAsia="Calibri"/>
          <w:bCs/>
          <w:sz w:val="24"/>
          <w:szCs w:val="24"/>
        </w:rPr>
      </w:pPr>
      <w:r>
        <w:rPr>
          <w:rFonts w:eastAsia="Calibri"/>
          <w:bCs/>
          <w:sz w:val="24"/>
          <w:szCs w:val="24"/>
        </w:rPr>
        <w:t xml:space="preserve"> средства федерального бюджета – </w:t>
      </w:r>
      <w:r>
        <w:rPr>
          <w:rFonts w:eastAsia="Calibri"/>
          <w:bCs/>
          <w:sz w:val="24"/>
          <w:szCs w:val="24"/>
        </w:rPr>
        <w:t xml:space="preserve">10,2  млн. руб.;</w:t>
      </w:r>
      <w:r>
        <w:rPr>
          <w:rFonts w:eastAsia="Calibri"/>
          <w:bCs/>
          <w:sz w:val="24"/>
          <w:szCs w:val="24"/>
        </w:rPr>
      </w:r>
      <w:r>
        <w:rPr>
          <w:rFonts w:eastAsia="Calibri"/>
          <w:bCs/>
          <w:sz w:val="24"/>
          <w:szCs w:val="24"/>
        </w:rPr>
      </w:r>
    </w:p>
    <w:p>
      <w:pPr>
        <w:pStyle w:val="934"/>
        <w:ind w:firstLine="709"/>
        <w:jc w:val="both"/>
        <w:spacing w:line="276" w:lineRule="auto"/>
        <w:rPr>
          <w:rFonts w:eastAsia="Calibri"/>
          <w:bCs/>
          <w:sz w:val="24"/>
          <w:szCs w:val="24"/>
        </w:rPr>
        <w:outlineLvl w:val="2"/>
      </w:pPr>
      <w:r>
        <w:rPr>
          <w:rFonts w:eastAsia="Calibri"/>
          <w:bCs/>
          <w:sz w:val="24"/>
          <w:szCs w:val="24"/>
        </w:rPr>
        <w:t xml:space="preserve"> </w:t>
      </w:r>
      <w:r>
        <w:rPr>
          <w:rFonts w:eastAsia="Calibri"/>
          <w:bCs/>
          <w:sz w:val="24"/>
          <w:szCs w:val="24"/>
        </w:rPr>
        <w:t xml:space="preserve">средства </w:t>
      </w:r>
      <w:r>
        <w:rPr>
          <w:sz w:val="24"/>
          <w:szCs w:val="24"/>
        </w:rPr>
        <w:t xml:space="preserve">автономного округа </w:t>
      </w:r>
      <w:r>
        <w:rPr>
          <w:rFonts w:eastAsia="Calibri"/>
          <w:bCs/>
          <w:sz w:val="24"/>
          <w:szCs w:val="24"/>
        </w:rPr>
        <w:t xml:space="preserve">– </w:t>
      </w:r>
      <w:r>
        <w:rPr>
          <w:rFonts w:eastAsia="Calibri"/>
          <w:bCs/>
          <w:sz w:val="24"/>
          <w:szCs w:val="24"/>
        </w:rPr>
        <w:t xml:space="preserve">1 161,4</w:t>
      </w:r>
      <w:r>
        <w:rPr>
          <w:rFonts w:eastAsia="Calibri"/>
          <w:bCs/>
          <w:sz w:val="24"/>
          <w:szCs w:val="24"/>
        </w:rPr>
        <w:t xml:space="preserve"> млн. руб.</w:t>
      </w:r>
      <w:r>
        <w:rPr>
          <w:rFonts w:eastAsia="Calibri"/>
          <w:bCs/>
          <w:sz w:val="24"/>
          <w:szCs w:val="24"/>
        </w:rPr>
        <w:t xml:space="preserve">;</w:t>
      </w:r>
      <w:r>
        <w:rPr>
          <w:rFonts w:eastAsia="Calibri"/>
          <w:bCs/>
          <w:sz w:val="24"/>
          <w:szCs w:val="24"/>
        </w:rPr>
      </w:r>
      <w:r>
        <w:rPr>
          <w:rFonts w:eastAsia="Calibri"/>
          <w:bCs/>
          <w:sz w:val="24"/>
          <w:szCs w:val="24"/>
        </w:rPr>
      </w:r>
    </w:p>
    <w:p>
      <w:pPr>
        <w:pStyle w:val="934"/>
        <w:ind w:firstLine="709"/>
        <w:jc w:val="both"/>
        <w:spacing w:line="276" w:lineRule="auto"/>
        <w:rPr>
          <w:rFonts w:eastAsia="Calibri"/>
          <w:bCs/>
          <w:sz w:val="24"/>
          <w:szCs w:val="24"/>
        </w:rPr>
        <w:outlineLvl w:val="2"/>
      </w:pPr>
      <w:r>
        <w:rPr>
          <w:rFonts w:eastAsia="Calibri"/>
          <w:bCs/>
          <w:sz w:val="24"/>
          <w:szCs w:val="24"/>
        </w:rPr>
        <w:t xml:space="preserve"> </w:t>
      </w:r>
      <w:r>
        <w:rPr>
          <w:sz w:val="24"/>
          <w:szCs w:val="24"/>
        </w:rPr>
        <w:t xml:space="preserve">средства бюджета Белоярского района </w:t>
      </w:r>
      <w:r>
        <w:rPr>
          <w:rFonts w:eastAsia="Calibri"/>
          <w:bCs/>
          <w:sz w:val="24"/>
          <w:szCs w:val="24"/>
        </w:rPr>
        <w:t xml:space="preserve">– </w:t>
      </w:r>
      <w:r>
        <w:rPr>
          <w:rFonts w:eastAsia="Calibri"/>
          <w:bCs/>
          <w:sz w:val="24"/>
          <w:szCs w:val="24"/>
        </w:rPr>
        <w:t xml:space="preserve">76,7</w:t>
      </w:r>
      <w:r>
        <w:rPr>
          <w:rFonts w:eastAsia="Calibri"/>
          <w:bCs/>
          <w:sz w:val="24"/>
          <w:szCs w:val="24"/>
        </w:rPr>
        <w:t xml:space="preserve">  млн. руб. </w:t>
      </w:r>
      <w:r>
        <w:rPr>
          <w:rFonts w:eastAsia="Calibri"/>
          <w:bCs/>
          <w:sz w:val="24"/>
          <w:szCs w:val="24"/>
        </w:rPr>
      </w:r>
      <w:r>
        <w:rPr>
          <w:rFonts w:eastAsia="Calibri"/>
          <w:bCs/>
          <w:sz w:val="24"/>
          <w:szCs w:val="24"/>
        </w:rPr>
      </w:r>
    </w:p>
    <w:p>
      <w:pPr>
        <w:pStyle w:val="934"/>
        <w:ind w:firstLine="680"/>
        <w:jc w:val="both"/>
        <w:spacing w:line="276" w:lineRule="auto"/>
        <w:rPr>
          <w:rFonts w:eastAsia="Calibri"/>
          <w:sz w:val="24"/>
          <w:szCs w:val="24"/>
          <w:lang w:eastAsia="en-US"/>
        </w:rPr>
      </w:pPr>
      <w:r>
        <w:rPr>
          <w:sz w:val="24"/>
          <w:szCs w:val="24"/>
        </w:rPr>
        <w:t xml:space="preserve">Все </w:t>
      </w:r>
      <w:r>
        <w:rPr>
          <w:sz w:val="24"/>
          <w:szCs w:val="24"/>
        </w:rPr>
        <w:t xml:space="preserve">запланированные мероприятия </w:t>
      </w:r>
      <w:r>
        <w:rPr>
          <w:sz w:val="24"/>
          <w:szCs w:val="24"/>
        </w:rPr>
        <w:t xml:space="preserve">национальных</w:t>
      </w:r>
      <w:r>
        <w:rPr>
          <w:sz w:val="24"/>
          <w:szCs w:val="24"/>
        </w:rPr>
        <w:t xml:space="preserve"> проектов реализ</w:t>
      </w:r>
      <w:r>
        <w:rPr>
          <w:sz w:val="24"/>
          <w:szCs w:val="24"/>
        </w:rPr>
        <w:t xml:space="preserve">ованы</w:t>
      </w:r>
      <w:r>
        <w:rPr>
          <w:sz w:val="24"/>
          <w:szCs w:val="24"/>
        </w:rPr>
        <w:t xml:space="preserve"> в установленный срок.</w:t>
      </w:r>
      <w:r>
        <w:rPr>
          <w:sz w:val="24"/>
          <w:szCs w:val="24"/>
        </w:rPr>
        <w:t xml:space="preserve"> </w:t>
      </w:r>
      <w:r>
        <w:rPr>
          <w:rFonts w:eastAsia="Calibri"/>
          <w:sz w:val="24"/>
          <w:szCs w:val="24"/>
          <w:lang w:eastAsia="en-US"/>
        </w:rPr>
        <w:t xml:space="preserve"> </w:t>
      </w:r>
      <w:r>
        <w:rPr>
          <w:rFonts w:eastAsia="Calibri"/>
          <w:sz w:val="24"/>
          <w:szCs w:val="24"/>
          <w:lang w:eastAsia="en-US"/>
        </w:rPr>
        <w:t xml:space="preserve">На 2024 год </w:t>
      </w:r>
      <w:r>
        <w:rPr>
          <w:rFonts w:eastAsia="Calibri"/>
          <w:sz w:val="24"/>
          <w:szCs w:val="24"/>
          <w:lang w:eastAsia="en-US"/>
        </w:rPr>
        <w:t xml:space="preserve">за Белоярским районом закреплено достижение 20 показателей, из них 11 целевых показателей достигнуты на запланированном уровне, </w:t>
      </w:r>
      <w:r>
        <w:rPr>
          <w:rFonts w:eastAsia="Calibri"/>
          <w:sz w:val="24"/>
          <w:szCs w:val="24"/>
          <w:lang w:eastAsia="en-US"/>
        </w:rPr>
        <w:t xml:space="preserve"> </w:t>
      </w:r>
      <w:r>
        <w:rPr>
          <w:rFonts w:eastAsia="Calibri"/>
          <w:sz w:val="24"/>
          <w:szCs w:val="24"/>
          <w:lang w:eastAsia="en-US"/>
        </w:rPr>
        <w:t xml:space="preserve">по 9 показателям значение перевыполнено.</w:t>
      </w:r>
      <w:r>
        <w:rPr>
          <w:rFonts w:eastAsia="Calibri"/>
          <w:sz w:val="24"/>
          <w:szCs w:val="24"/>
          <w:lang w:eastAsia="en-US"/>
        </w:rPr>
      </w:r>
      <w:r>
        <w:rPr>
          <w:rFonts w:eastAsia="Calibri"/>
          <w:sz w:val="24"/>
          <w:szCs w:val="24"/>
          <w:lang w:eastAsia="en-US"/>
        </w:rPr>
      </w:r>
    </w:p>
    <w:p>
      <w:pPr>
        <w:pStyle w:val="1016"/>
        <w:ind w:firstLine="709"/>
        <w:jc w:val="both"/>
        <w:spacing w:line="276" w:lineRule="auto"/>
        <w:tabs>
          <w:tab w:val="left" w:pos="993" w:leader="none"/>
          <w:tab w:val="left" w:pos="1134" w:leader="none"/>
        </w:tabs>
        <w:rPr>
          <w:rFonts w:eastAsia="Times New Roman"/>
          <w:color w:val="000000"/>
          <w:lang w:eastAsia="ru-RU"/>
        </w:rPr>
      </w:pPr>
      <w:r>
        <w:t xml:space="preserve">Таким образом, мероприятия, реализуемые в рамках муниципальных программ, способствуют достижению целей региональных</w:t>
      </w:r>
      <w:r>
        <w:t xml:space="preserve"> и национальных  проектов.</w:t>
      </w:r>
      <w:r>
        <w:rPr>
          <w:rFonts w:eastAsia="Times New Roman"/>
          <w:color w:val="000000"/>
          <w:lang w:eastAsia="ru-RU"/>
        </w:rPr>
      </w:r>
      <w:r>
        <w:rPr>
          <w:rFonts w:eastAsia="Times New Roman"/>
          <w:color w:val="000000"/>
          <w:lang w:eastAsia="ru-RU"/>
        </w:rPr>
      </w:r>
    </w:p>
    <w:p>
      <w:pPr>
        <w:pStyle w:val="934"/>
        <w:ind w:firstLine="708"/>
        <w:jc w:val="both"/>
        <w:spacing w:line="276" w:lineRule="auto"/>
        <w:rPr>
          <w:color w:val="ff0000"/>
          <w:sz w:val="24"/>
          <w:szCs w:val="24"/>
        </w:rPr>
      </w:pPr>
      <w:r>
        <w:rPr>
          <w:sz w:val="24"/>
          <w:szCs w:val="24"/>
        </w:rPr>
        <w:t xml:space="preserve">В целях повышения эффективности реализации муниципальных прог</w:t>
      </w:r>
      <w:r>
        <w:rPr>
          <w:sz w:val="24"/>
          <w:szCs w:val="24"/>
        </w:rPr>
        <w:t xml:space="preserve">рамм Белоярского района, качественного и своевременного освоения средств государственных программ Ханты-Мансийского автономного округа - Югры ответственными исполнителями муниципальных программ ежемесячно осуществляется мониторинг исполнения муниципальных </w:t>
      </w:r>
      <w:r>
        <w:rPr>
          <w:sz w:val="24"/>
          <w:szCs w:val="24"/>
        </w:rPr>
        <w:t xml:space="preserve">программ Белоярского района и государственных программ Ханты-Мансийского автономного округа – Югры.</w:t>
      </w:r>
      <w:r>
        <w:rPr>
          <w:color w:val="ff0000"/>
          <w:sz w:val="24"/>
          <w:szCs w:val="24"/>
        </w:rPr>
      </w:r>
      <w:r>
        <w:rPr>
          <w:color w:val="ff0000"/>
          <w:sz w:val="24"/>
          <w:szCs w:val="24"/>
        </w:rPr>
      </w:r>
    </w:p>
    <w:p>
      <w:pPr>
        <w:pStyle w:val="934"/>
        <w:ind w:firstLine="708"/>
        <w:jc w:val="both"/>
        <w:spacing w:line="276" w:lineRule="auto"/>
        <w:rPr>
          <w:color w:val="ff0000"/>
          <w:sz w:val="24"/>
          <w:szCs w:val="24"/>
        </w:rPr>
      </w:pPr>
      <w:r>
        <w:rPr>
          <w:color w:val="ff0000"/>
          <w:sz w:val="24"/>
          <w:szCs w:val="24"/>
        </w:rPr>
      </w:r>
      <w:r>
        <w:rPr>
          <w:color w:val="ff0000"/>
          <w:sz w:val="24"/>
          <w:szCs w:val="24"/>
        </w:rPr>
      </w:r>
      <w:r>
        <w:rPr>
          <w:color w:val="ff0000"/>
          <w:sz w:val="24"/>
          <w:szCs w:val="24"/>
        </w:rPr>
      </w:r>
    </w:p>
    <w:p>
      <w:pPr>
        <w:pStyle w:val="934"/>
        <w:ind w:firstLine="708"/>
        <w:jc w:val="both"/>
        <w:spacing w:line="276" w:lineRule="auto"/>
        <w:rPr>
          <w:color w:val="ff0000"/>
          <w:sz w:val="24"/>
          <w:szCs w:val="24"/>
        </w:rPr>
      </w:pPr>
      <w:r>
        <w:rPr>
          <w:color w:val="ff0000"/>
          <w:sz w:val="24"/>
          <w:szCs w:val="24"/>
        </w:rPr>
      </w:r>
      <w:r>
        <w:rPr>
          <w:color w:val="ff0000"/>
          <w:sz w:val="24"/>
          <w:szCs w:val="24"/>
        </w:rPr>
      </w:r>
      <w:r>
        <w:rPr>
          <w:color w:val="ff0000"/>
          <w:sz w:val="24"/>
          <w:szCs w:val="24"/>
        </w:rPr>
      </w:r>
    </w:p>
    <w:p>
      <w:pPr>
        <w:pStyle w:val="934"/>
        <w:ind w:firstLine="708"/>
        <w:jc w:val="center"/>
        <w:spacing w:line="276" w:lineRule="auto"/>
        <w:rPr>
          <w:sz w:val="24"/>
          <w:szCs w:val="24"/>
        </w:rPr>
      </w:pPr>
      <w:r>
        <w:rPr>
          <w:sz w:val="24"/>
          <w:szCs w:val="24"/>
        </w:rPr>
        <w:t xml:space="preserve">______</w:t>
      </w:r>
      <w:r>
        <w:rPr>
          <w:sz w:val="24"/>
          <w:szCs w:val="24"/>
        </w:rPr>
        <w:t xml:space="preserve">___</w:t>
      </w:r>
      <w:r>
        <w:rPr>
          <w:sz w:val="24"/>
          <w:szCs w:val="24"/>
        </w:rPr>
        <w:t xml:space="preserve">___</w:t>
      </w:r>
      <w:r>
        <w:rPr>
          <w:sz w:val="24"/>
          <w:szCs w:val="24"/>
        </w:rPr>
      </w:r>
      <w:r>
        <w:rPr>
          <w:sz w:val="24"/>
          <w:szCs w:val="24"/>
        </w:rPr>
      </w:r>
    </w:p>
    <w:sectPr>
      <w:headerReference w:type="default" r:id="rId9"/>
      <w:footnotePr/>
      <w:endnotePr/>
      <w:type w:val="nextPage"/>
      <w:pgSz w:w="11906" w:h="16838" w:orient="portrait"/>
      <w:pgMar w:top="709" w:right="850" w:bottom="851" w:left="1701" w:header="708" w:footer="708" w:gutter="0"/>
      <w:pgNumType w:start="1"/>
      <w:cols w:num="1" w:sep="0" w:space="708" w:equalWidth="1"/>
      <w:docGrid w:linePitch="36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spacing w:after="0" w:line="240" w:lineRule="auto"/>
      </w:pPr>
      <w:r>
        <w:separator/>
      </w:r>
      <w:r/>
    </w:p>
  </w:endnote>
  <w:endnote w:type="continuationSeparator" w:id="0">
    <w:p>
      <w:pPr>
        <w:spacing w:after="0" w:line="240" w:lineRule="auto"/>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CYR">
    <w:panose1 w:val="020B0604020202020204"/>
  </w:font>
  <w:font w:name="Wingdings">
    <w:panose1 w:val="05000000000000000000"/>
  </w:font>
  <w:font w:name="Courier New">
    <w:panose1 w:val="02070309020205020404"/>
  </w:font>
  <w:font w:name="Symbol">
    <w:panose1 w:val="05050102010706020507"/>
  </w:font>
  <w:font w:name="Verdana">
    <w:panose1 w:val="020B0604030504040204"/>
  </w:font>
  <w:font w:name="Tahoma">
    <w:panose1 w:val="020B0604030504040204"/>
  </w:font>
  <w:font w:name="Arial">
    <w:panose1 w:val="020B0604020202020204"/>
  </w:font>
  <w:font w:name="Times New Roman">
    <w:panose1 w:val="02020603050405020304"/>
  </w:font>
  <w:font w:name="Calibri">
    <w:panose1 w:val="020F0502020204030204"/>
  </w:font>
  <w:font w:name="Cambria">
    <w:panose1 w:val="02040503050406030204"/>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spacing w:after="0" w:line="240" w:lineRule="auto"/>
      </w:pPr>
      <w:r>
        <w:separator/>
      </w:r>
      <w:r/>
    </w:p>
  </w:footnote>
  <w:footnote w:type="continuationSeparator" w:id="0">
    <w:p>
      <w:pPr>
        <w:spacing w:after="0" w:line="240" w:lineRule="auto"/>
      </w:pPr>
      <w:r>
        <w:continuationSeparator/>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955"/>
      <w:jc w:val="center"/>
    </w:pPr>
    <w:r>
      <w:fldChar w:fldCharType="begin"/>
    </w:r>
    <w:r>
      <w:instrText xml:space="preserve">PAGE   \* MERGEFORMAT</w:instrText>
    </w:r>
    <w:r>
      <w:fldChar w:fldCharType="separate"/>
    </w:r>
    <w:r>
      <w:t xml:space="preserve">20</w:t>
    </w:r>
    <w:r>
      <w:fldChar w:fldCharType="end"/>
    </w:r>
    <w:r/>
  </w:p>
  <w:p>
    <w:pPr>
      <w:pStyle w:val="955"/>
    </w:pPr>
    <w: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multiLevelType w:val="hybridMultilevel"/>
    <w:lvl w:ilvl="0">
      <w:start w:val="1"/>
      <w:numFmt w:val="bullet"/>
      <w:isLgl w:val="false"/>
      <w:suff w:val="tab"/>
      <w:lvlText w:val=""/>
      <w:lvlJc w:val="left"/>
      <w:pPr>
        <w:ind w:left="1457" w:hanging="360"/>
      </w:pPr>
      <w:rPr>
        <w:rFonts w:ascii="Symbol" w:hAnsi="Symbol"/>
      </w:rPr>
    </w:lvl>
    <w:lvl w:ilvl="1">
      <w:start w:val="1"/>
      <w:numFmt w:val="bullet"/>
      <w:isLgl w:val="false"/>
      <w:suff w:val="tab"/>
      <w:lvlText w:val="o"/>
      <w:lvlJc w:val="left"/>
      <w:pPr>
        <w:ind w:left="2177" w:hanging="360"/>
      </w:pPr>
      <w:rPr>
        <w:rFonts w:ascii="Courier New" w:hAnsi="Courier New" w:cs="Courier New"/>
      </w:rPr>
    </w:lvl>
    <w:lvl w:ilvl="2">
      <w:start w:val="1"/>
      <w:numFmt w:val="bullet"/>
      <w:isLgl w:val="false"/>
      <w:suff w:val="tab"/>
      <w:lvlText w:val=""/>
      <w:lvlJc w:val="left"/>
      <w:pPr>
        <w:ind w:left="2897" w:hanging="360"/>
      </w:pPr>
      <w:rPr>
        <w:rFonts w:ascii="Wingdings" w:hAnsi="Wingdings"/>
      </w:rPr>
    </w:lvl>
    <w:lvl w:ilvl="3">
      <w:start w:val="1"/>
      <w:numFmt w:val="bullet"/>
      <w:isLgl w:val="false"/>
      <w:suff w:val="tab"/>
      <w:lvlText w:val=""/>
      <w:lvlJc w:val="left"/>
      <w:pPr>
        <w:ind w:left="3617" w:hanging="360"/>
      </w:pPr>
      <w:rPr>
        <w:rFonts w:ascii="Symbol" w:hAnsi="Symbol"/>
      </w:rPr>
    </w:lvl>
    <w:lvl w:ilvl="4">
      <w:start w:val="1"/>
      <w:numFmt w:val="bullet"/>
      <w:isLgl w:val="false"/>
      <w:suff w:val="tab"/>
      <w:lvlText w:val="o"/>
      <w:lvlJc w:val="left"/>
      <w:pPr>
        <w:ind w:left="4337" w:hanging="360"/>
      </w:pPr>
      <w:rPr>
        <w:rFonts w:ascii="Courier New" w:hAnsi="Courier New" w:cs="Courier New"/>
      </w:rPr>
    </w:lvl>
    <w:lvl w:ilvl="5">
      <w:start w:val="1"/>
      <w:numFmt w:val="bullet"/>
      <w:isLgl w:val="false"/>
      <w:suff w:val="tab"/>
      <w:lvlText w:val=""/>
      <w:lvlJc w:val="left"/>
      <w:pPr>
        <w:ind w:left="5057" w:hanging="360"/>
      </w:pPr>
      <w:rPr>
        <w:rFonts w:ascii="Wingdings" w:hAnsi="Wingdings"/>
      </w:rPr>
    </w:lvl>
    <w:lvl w:ilvl="6">
      <w:start w:val="1"/>
      <w:numFmt w:val="bullet"/>
      <w:isLgl w:val="false"/>
      <w:suff w:val="tab"/>
      <w:lvlText w:val=""/>
      <w:lvlJc w:val="left"/>
      <w:pPr>
        <w:ind w:left="5777" w:hanging="360"/>
      </w:pPr>
      <w:rPr>
        <w:rFonts w:ascii="Symbol" w:hAnsi="Symbol"/>
      </w:rPr>
    </w:lvl>
    <w:lvl w:ilvl="7">
      <w:start w:val="1"/>
      <w:numFmt w:val="bullet"/>
      <w:isLgl w:val="false"/>
      <w:suff w:val="tab"/>
      <w:lvlText w:val="o"/>
      <w:lvlJc w:val="left"/>
      <w:pPr>
        <w:ind w:left="6497" w:hanging="360"/>
      </w:pPr>
      <w:rPr>
        <w:rFonts w:ascii="Courier New" w:hAnsi="Courier New" w:cs="Courier New"/>
      </w:rPr>
    </w:lvl>
    <w:lvl w:ilvl="8">
      <w:start w:val="1"/>
      <w:numFmt w:val="bullet"/>
      <w:isLgl w:val="false"/>
      <w:suff w:val="tab"/>
      <w:lvlText w:val=""/>
      <w:lvlJc w:val="left"/>
      <w:pPr>
        <w:ind w:left="7217" w:hanging="360"/>
      </w:pPr>
      <w:rPr>
        <w:rFonts w:ascii="Wingdings" w:hAnsi="Wingdings"/>
      </w:rPr>
    </w:lvl>
  </w:abstractNum>
  <w:abstractNum w:abstractNumId="1">
    <w:multiLevelType w:val="hybridMultilevel"/>
    <w:lvl w:ilvl="0">
      <w:start w:val="1"/>
      <w:numFmt w:val="bullet"/>
      <w:isLgl w:val="false"/>
      <w:suff w:val="tab"/>
      <w:lvlText w:val=""/>
      <w:lvlJc w:val="left"/>
      <w:pPr>
        <w:ind w:left="1429" w:hanging="360"/>
      </w:pPr>
      <w:rPr>
        <w:rFonts w:ascii="Symbol" w:hAnsi="Symbol"/>
        <w:color w:val="000000"/>
      </w:rPr>
    </w:lvl>
    <w:lvl w:ilvl="1">
      <w:start w:val="1"/>
      <w:numFmt w:val="bullet"/>
      <w:isLgl w:val="false"/>
      <w:suff w:val="tab"/>
      <w:lvlText w:val="o"/>
      <w:lvlJc w:val="left"/>
      <w:pPr>
        <w:ind w:left="2149" w:hanging="360"/>
      </w:pPr>
      <w:rPr>
        <w:rFonts w:ascii="Courier New" w:hAnsi="Courier New" w:cs="Courier New"/>
      </w:rPr>
    </w:lvl>
    <w:lvl w:ilvl="2">
      <w:start w:val="1"/>
      <w:numFmt w:val="bullet"/>
      <w:isLgl w:val="false"/>
      <w:suff w:val="tab"/>
      <w:lvlText w:val=""/>
      <w:lvlJc w:val="left"/>
      <w:pPr>
        <w:ind w:left="2869" w:hanging="360"/>
      </w:pPr>
      <w:rPr>
        <w:rFonts w:ascii="Wingdings" w:hAnsi="Wingdings"/>
      </w:rPr>
    </w:lvl>
    <w:lvl w:ilvl="3">
      <w:start w:val="1"/>
      <w:numFmt w:val="bullet"/>
      <w:isLgl w:val="false"/>
      <w:suff w:val="tab"/>
      <w:lvlText w:val=""/>
      <w:lvlJc w:val="left"/>
      <w:pPr>
        <w:ind w:left="3589" w:hanging="360"/>
      </w:pPr>
      <w:rPr>
        <w:rFonts w:ascii="Symbol" w:hAnsi="Symbol"/>
      </w:rPr>
    </w:lvl>
    <w:lvl w:ilvl="4">
      <w:start w:val="1"/>
      <w:numFmt w:val="bullet"/>
      <w:isLgl w:val="false"/>
      <w:suff w:val="tab"/>
      <w:lvlText w:val="o"/>
      <w:lvlJc w:val="left"/>
      <w:pPr>
        <w:ind w:left="4309" w:hanging="360"/>
      </w:pPr>
      <w:rPr>
        <w:rFonts w:ascii="Courier New" w:hAnsi="Courier New" w:cs="Courier New"/>
      </w:rPr>
    </w:lvl>
    <w:lvl w:ilvl="5">
      <w:start w:val="1"/>
      <w:numFmt w:val="bullet"/>
      <w:isLgl w:val="false"/>
      <w:suff w:val="tab"/>
      <w:lvlText w:val=""/>
      <w:lvlJc w:val="left"/>
      <w:pPr>
        <w:ind w:left="5029" w:hanging="360"/>
      </w:pPr>
      <w:rPr>
        <w:rFonts w:ascii="Wingdings" w:hAnsi="Wingdings"/>
      </w:rPr>
    </w:lvl>
    <w:lvl w:ilvl="6">
      <w:start w:val="1"/>
      <w:numFmt w:val="bullet"/>
      <w:isLgl w:val="false"/>
      <w:suff w:val="tab"/>
      <w:lvlText w:val=""/>
      <w:lvlJc w:val="left"/>
      <w:pPr>
        <w:ind w:left="5749" w:hanging="360"/>
      </w:pPr>
      <w:rPr>
        <w:rFonts w:ascii="Symbol" w:hAnsi="Symbol"/>
      </w:rPr>
    </w:lvl>
    <w:lvl w:ilvl="7">
      <w:start w:val="1"/>
      <w:numFmt w:val="bullet"/>
      <w:isLgl w:val="false"/>
      <w:suff w:val="tab"/>
      <w:lvlText w:val="o"/>
      <w:lvlJc w:val="left"/>
      <w:pPr>
        <w:ind w:left="6469" w:hanging="360"/>
      </w:pPr>
      <w:rPr>
        <w:rFonts w:ascii="Courier New" w:hAnsi="Courier New" w:cs="Courier New"/>
      </w:rPr>
    </w:lvl>
    <w:lvl w:ilvl="8">
      <w:start w:val="1"/>
      <w:numFmt w:val="bullet"/>
      <w:isLgl w:val="false"/>
      <w:suff w:val="tab"/>
      <w:lvlText w:val=""/>
      <w:lvlJc w:val="left"/>
      <w:pPr>
        <w:ind w:left="7189" w:hanging="360"/>
      </w:pPr>
      <w:rPr>
        <w:rFonts w:ascii="Wingdings" w:hAnsi="Wingdings"/>
      </w:rPr>
    </w:lvl>
  </w:abstractNum>
  <w:abstractNum w:abstractNumId="2">
    <w:multiLevelType w:val="hybridMultilevel"/>
    <w:lvl w:ilvl="0">
      <w:start w:val="1"/>
      <w:numFmt w:val="bullet"/>
      <w:isLgl w:val="false"/>
      <w:suff w:val="tab"/>
      <w:lvlText w:val=""/>
      <w:lvlJc w:val="left"/>
      <w:pPr>
        <w:ind w:left="1429" w:hanging="360"/>
      </w:pPr>
      <w:rPr>
        <w:rFonts w:ascii="Symbol" w:hAnsi="Symbol"/>
      </w:rPr>
    </w:lvl>
    <w:lvl w:ilvl="1">
      <w:start w:val="1"/>
      <w:numFmt w:val="bullet"/>
      <w:isLgl w:val="false"/>
      <w:suff w:val="tab"/>
      <w:lvlText w:val="o"/>
      <w:lvlJc w:val="left"/>
      <w:pPr>
        <w:ind w:left="2149" w:hanging="360"/>
      </w:pPr>
      <w:rPr>
        <w:rFonts w:ascii="Courier New" w:hAnsi="Courier New" w:cs="Courier New"/>
      </w:rPr>
    </w:lvl>
    <w:lvl w:ilvl="2">
      <w:start w:val="1"/>
      <w:numFmt w:val="bullet"/>
      <w:isLgl w:val="false"/>
      <w:suff w:val="tab"/>
      <w:lvlText w:val=""/>
      <w:lvlJc w:val="left"/>
      <w:pPr>
        <w:ind w:left="2869" w:hanging="360"/>
      </w:pPr>
      <w:rPr>
        <w:rFonts w:ascii="Wingdings" w:hAnsi="Wingdings"/>
      </w:rPr>
    </w:lvl>
    <w:lvl w:ilvl="3">
      <w:start w:val="1"/>
      <w:numFmt w:val="bullet"/>
      <w:isLgl w:val="false"/>
      <w:suff w:val="tab"/>
      <w:lvlText w:val=""/>
      <w:lvlJc w:val="left"/>
      <w:pPr>
        <w:ind w:left="3589" w:hanging="360"/>
      </w:pPr>
      <w:rPr>
        <w:rFonts w:ascii="Symbol" w:hAnsi="Symbol"/>
      </w:rPr>
    </w:lvl>
    <w:lvl w:ilvl="4">
      <w:start w:val="1"/>
      <w:numFmt w:val="bullet"/>
      <w:isLgl w:val="false"/>
      <w:suff w:val="tab"/>
      <w:lvlText w:val="o"/>
      <w:lvlJc w:val="left"/>
      <w:pPr>
        <w:ind w:left="4309" w:hanging="360"/>
      </w:pPr>
      <w:rPr>
        <w:rFonts w:ascii="Courier New" w:hAnsi="Courier New" w:cs="Courier New"/>
      </w:rPr>
    </w:lvl>
    <w:lvl w:ilvl="5">
      <w:start w:val="1"/>
      <w:numFmt w:val="bullet"/>
      <w:isLgl w:val="false"/>
      <w:suff w:val="tab"/>
      <w:lvlText w:val=""/>
      <w:lvlJc w:val="left"/>
      <w:pPr>
        <w:ind w:left="5029" w:hanging="360"/>
      </w:pPr>
      <w:rPr>
        <w:rFonts w:ascii="Wingdings" w:hAnsi="Wingdings"/>
      </w:rPr>
    </w:lvl>
    <w:lvl w:ilvl="6">
      <w:start w:val="1"/>
      <w:numFmt w:val="bullet"/>
      <w:isLgl w:val="false"/>
      <w:suff w:val="tab"/>
      <w:lvlText w:val=""/>
      <w:lvlJc w:val="left"/>
      <w:pPr>
        <w:ind w:left="5749" w:hanging="360"/>
      </w:pPr>
      <w:rPr>
        <w:rFonts w:ascii="Symbol" w:hAnsi="Symbol"/>
      </w:rPr>
    </w:lvl>
    <w:lvl w:ilvl="7">
      <w:start w:val="1"/>
      <w:numFmt w:val="bullet"/>
      <w:isLgl w:val="false"/>
      <w:suff w:val="tab"/>
      <w:lvlText w:val="o"/>
      <w:lvlJc w:val="left"/>
      <w:pPr>
        <w:ind w:left="6469" w:hanging="360"/>
      </w:pPr>
      <w:rPr>
        <w:rFonts w:ascii="Courier New" w:hAnsi="Courier New" w:cs="Courier New"/>
      </w:rPr>
    </w:lvl>
    <w:lvl w:ilvl="8">
      <w:start w:val="1"/>
      <w:numFmt w:val="bullet"/>
      <w:isLgl w:val="false"/>
      <w:suff w:val="tab"/>
      <w:lvlText w:val=""/>
      <w:lvlJc w:val="left"/>
      <w:pPr>
        <w:ind w:left="7189" w:hanging="360"/>
      </w:pPr>
      <w:rPr>
        <w:rFonts w:ascii="Wingdings" w:hAnsi="Wingdings"/>
      </w:rPr>
    </w:lvl>
  </w:abstractNum>
  <w:abstractNum w:abstractNumId="3">
    <w:multiLevelType w:val="hybridMultilevel"/>
    <w:lvl w:ilvl="0">
      <w:start w:val="1"/>
      <w:numFmt w:val="bullet"/>
      <w:isLgl w:val="false"/>
      <w:suff w:val="tab"/>
      <w:lvlText w:val=""/>
      <w:lvlJc w:val="left"/>
      <w:pPr>
        <w:ind w:left="1429" w:hanging="360"/>
      </w:pPr>
      <w:rPr>
        <w:rFonts w:ascii="Symbol" w:hAnsi="Symbol"/>
      </w:rPr>
    </w:lvl>
    <w:lvl w:ilvl="1">
      <w:start w:val="1"/>
      <w:numFmt w:val="bullet"/>
      <w:isLgl w:val="false"/>
      <w:suff w:val="tab"/>
      <w:lvlText w:val="o"/>
      <w:lvlJc w:val="left"/>
      <w:pPr>
        <w:ind w:left="2149" w:hanging="360"/>
      </w:pPr>
      <w:rPr>
        <w:rFonts w:ascii="Courier New" w:hAnsi="Courier New" w:cs="Courier New"/>
      </w:rPr>
    </w:lvl>
    <w:lvl w:ilvl="2">
      <w:start w:val="1"/>
      <w:numFmt w:val="bullet"/>
      <w:isLgl w:val="false"/>
      <w:suff w:val="tab"/>
      <w:lvlText w:val=""/>
      <w:lvlJc w:val="left"/>
      <w:pPr>
        <w:ind w:left="2869" w:hanging="360"/>
      </w:pPr>
      <w:rPr>
        <w:rFonts w:ascii="Wingdings" w:hAnsi="Wingdings"/>
      </w:rPr>
    </w:lvl>
    <w:lvl w:ilvl="3">
      <w:start w:val="1"/>
      <w:numFmt w:val="bullet"/>
      <w:isLgl w:val="false"/>
      <w:suff w:val="tab"/>
      <w:lvlText w:val=""/>
      <w:lvlJc w:val="left"/>
      <w:pPr>
        <w:ind w:left="3589" w:hanging="360"/>
      </w:pPr>
      <w:rPr>
        <w:rFonts w:ascii="Symbol" w:hAnsi="Symbol"/>
      </w:rPr>
    </w:lvl>
    <w:lvl w:ilvl="4">
      <w:start w:val="1"/>
      <w:numFmt w:val="bullet"/>
      <w:isLgl w:val="false"/>
      <w:suff w:val="tab"/>
      <w:lvlText w:val="o"/>
      <w:lvlJc w:val="left"/>
      <w:pPr>
        <w:ind w:left="4309" w:hanging="360"/>
      </w:pPr>
      <w:rPr>
        <w:rFonts w:ascii="Courier New" w:hAnsi="Courier New" w:cs="Courier New"/>
      </w:rPr>
    </w:lvl>
    <w:lvl w:ilvl="5">
      <w:start w:val="1"/>
      <w:numFmt w:val="bullet"/>
      <w:isLgl w:val="false"/>
      <w:suff w:val="tab"/>
      <w:lvlText w:val=""/>
      <w:lvlJc w:val="left"/>
      <w:pPr>
        <w:ind w:left="5029" w:hanging="360"/>
      </w:pPr>
      <w:rPr>
        <w:rFonts w:ascii="Wingdings" w:hAnsi="Wingdings"/>
      </w:rPr>
    </w:lvl>
    <w:lvl w:ilvl="6">
      <w:start w:val="1"/>
      <w:numFmt w:val="bullet"/>
      <w:isLgl w:val="false"/>
      <w:suff w:val="tab"/>
      <w:lvlText w:val=""/>
      <w:lvlJc w:val="left"/>
      <w:pPr>
        <w:ind w:left="5749" w:hanging="360"/>
      </w:pPr>
      <w:rPr>
        <w:rFonts w:ascii="Symbol" w:hAnsi="Symbol"/>
      </w:rPr>
    </w:lvl>
    <w:lvl w:ilvl="7">
      <w:start w:val="1"/>
      <w:numFmt w:val="bullet"/>
      <w:isLgl w:val="false"/>
      <w:suff w:val="tab"/>
      <w:lvlText w:val="o"/>
      <w:lvlJc w:val="left"/>
      <w:pPr>
        <w:ind w:left="6469" w:hanging="360"/>
      </w:pPr>
      <w:rPr>
        <w:rFonts w:ascii="Courier New" w:hAnsi="Courier New" w:cs="Courier New"/>
      </w:rPr>
    </w:lvl>
    <w:lvl w:ilvl="8">
      <w:start w:val="1"/>
      <w:numFmt w:val="bullet"/>
      <w:isLgl w:val="false"/>
      <w:suff w:val="tab"/>
      <w:lvlText w:val=""/>
      <w:lvlJc w:val="left"/>
      <w:pPr>
        <w:ind w:left="7189" w:hanging="360"/>
      </w:pPr>
      <w:rPr>
        <w:rFonts w:ascii="Wingdings" w:hAnsi="Wingdings"/>
      </w:rPr>
    </w:lvl>
  </w:abstractNum>
  <w:abstractNum w:abstractNumId="4">
    <w:multiLevelType w:val="hybridMultilevel"/>
    <w:lvl w:ilvl="0">
      <w:start w:val="1"/>
      <w:numFmt w:val="decimal"/>
      <w:isLgl w:val="false"/>
      <w:suff w:val="tab"/>
      <w:lvlText w:val="%1)"/>
      <w:lvlJc w:val="left"/>
      <w:pPr>
        <w:ind w:left="2149" w:hanging="360"/>
      </w:pPr>
    </w:lvl>
    <w:lvl w:ilvl="1">
      <w:start w:val="1"/>
      <w:numFmt w:val="lowerLetter"/>
      <w:isLgl w:val="false"/>
      <w:suff w:val="tab"/>
      <w:lvlText w:val="%2."/>
      <w:lvlJc w:val="left"/>
      <w:pPr>
        <w:ind w:left="2869" w:hanging="360"/>
      </w:pPr>
    </w:lvl>
    <w:lvl w:ilvl="2">
      <w:start w:val="1"/>
      <w:numFmt w:val="lowerRoman"/>
      <w:isLgl w:val="false"/>
      <w:suff w:val="tab"/>
      <w:lvlText w:val="%3."/>
      <w:lvlJc w:val="right"/>
      <w:pPr>
        <w:ind w:left="3589" w:hanging="180"/>
      </w:pPr>
    </w:lvl>
    <w:lvl w:ilvl="3">
      <w:start w:val="1"/>
      <w:numFmt w:val="decimal"/>
      <w:isLgl w:val="false"/>
      <w:suff w:val="tab"/>
      <w:lvlText w:val="%4."/>
      <w:lvlJc w:val="left"/>
      <w:pPr>
        <w:ind w:left="4309" w:hanging="360"/>
      </w:pPr>
    </w:lvl>
    <w:lvl w:ilvl="4">
      <w:start w:val="1"/>
      <w:numFmt w:val="lowerLetter"/>
      <w:isLgl w:val="false"/>
      <w:suff w:val="tab"/>
      <w:lvlText w:val="%5."/>
      <w:lvlJc w:val="left"/>
      <w:pPr>
        <w:ind w:left="5029" w:hanging="360"/>
      </w:pPr>
    </w:lvl>
    <w:lvl w:ilvl="5">
      <w:start w:val="1"/>
      <w:numFmt w:val="lowerRoman"/>
      <w:isLgl w:val="false"/>
      <w:suff w:val="tab"/>
      <w:lvlText w:val="%6."/>
      <w:lvlJc w:val="right"/>
      <w:pPr>
        <w:ind w:left="5749" w:hanging="180"/>
      </w:pPr>
    </w:lvl>
    <w:lvl w:ilvl="6">
      <w:start w:val="1"/>
      <w:numFmt w:val="decimal"/>
      <w:isLgl w:val="false"/>
      <w:suff w:val="tab"/>
      <w:lvlText w:val="%7."/>
      <w:lvlJc w:val="left"/>
      <w:pPr>
        <w:ind w:left="6469" w:hanging="360"/>
      </w:pPr>
    </w:lvl>
    <w:lvl w:ilvl="7">
      <w:start w:val="1"/>
      <w:numFmt w:val="lowerLetter"/>
      <w:isLgl w:val="false"/>
      <w:suff w:val="tab"/>
      <w:lvlText w:val="%8."/>
      <w:lvlJc w:val="left"/>
      <w:pPr>
        <w:ind w:left="7189" w:hanging="360"/>
      </w:pPr>
    </w:lvl>
    <w:lvl w:ilvl="8">
      <w:start w:val="1"/>
      <w:numFmt w:val="lowerRoman"/>
      <w:isLgl w:val="false"/>
      <w:suff w:val="tab"/>
      <w:lvlText w:val="%9."/>
      <w:lvlJc w:val="right"/>
      <w:pPr>
        <w:ind w:left="7909" w:hanging="180"/>
      </w:pPr>
    </w:lvl>
  </w:abstractNum>
  <w:abstractNum w:abstractNumId="5">
    <w:multiLevelType w:val="hybridMultilevel"/>
    <w:lvl w:ilvl="0">
      <w:start w:val="1"/>
      <w:numFmt w:val="bullet"/>
      <w:isLgl w:val="false"/>
      <w:suff w:val="tab"/>
      <w:lvlText w:val=""/>
      <w:lvlJc w:val="left"/>
      <w:pPr>
        <w:ind w:left="1429" w:hanging="360"/>
      </w:pPr>
      <w:rPr>
        <w:rFonts w:ascii="Symbol" w:hAnsi="Symbol"/>
      </w:rPr>
    </w:lvl>
    <w:lvl w:ilvl="1">
      <w:start w:val="1"/>
      <w:numFmt w:val="bullet"/>
      <w:isLgl w:val="false"/>
      <w:suff w:val="tab"/>
      <w:lvlText w:val="o"/>
      <w:lvlJc w:val="left"/>
      <w:pPr>
        <w:ind w:left="2149" w:hanging="360"/>
      </w:pPr>
      <w:rPr>
        <w:rFonts w:ascii="Courier New" w:hAnsi="Courier New" w:cs="Courier New"/>
      </w:rPr>
    </w:lvl>
    <w:lvl w:ilvl="2">
      <w:start w:val="1"/>
      <w:numFmt w:val="bullet"/>
      <w:isLgl w:val="false"/>
      <w:suff w:val="tab"/>
      <w:lvlText w:val=""/>
      <w:lvlJc w:val="left"/>
      <w:pPr>
        <w:ind w:left="2869" w:hanging="360"/>
      </w:pPr>
      <w:rPr>
        <w:rFonts w:ascii="Wingdings" w:hAnsi="Wingdings"/>
      </w:rPr>
    </w:lvl>
    <w:lvl w:ilvl="3">
      <w:start w:val="1"/>
      <w:numFmt w:val="bullet"/>
      <w:isLgl w:val="false"/>
      <w:suff w:val="tab"/>
      <w:lvlText w:val=""/>
      <w:lvlJc w:val="left"/>
      <w:pPr>
        <w:ind w:left="3589" w:hanging="360"/>
      </w:pPr>
      <w:rPr>
        <w:rFonts w:ascii="Symbol" w:hAnsi="Symbol"/>
      </w:rPr>
    </w:lvl>
    <w:lvl w:ilvl="4">
      <w:start w:val="1"/>
      <w:numFmt w:val="bullet"/>
      <w:isLgl w:val="false"/>
      <w:suff w:val="tab"/>
      <w:lvlText w:val="o"/>
      <w:lvlJc w:val="left"/>
      <w:pPr>
        <w:ind w:left="4309" w:hanging="360"/>
      </w:pPr>
      <w:rPr>
        <w:rFonts w:ascii="Courier New" w:hAnsi="Courier New" w:cs="Courier New"/>
      </w:rPr>
    </w:lvl>
    <w:lvl w:ilvl="5">
      <w:start w:val="1"/>
      <w:numFmt w:val="bullet"/>
      <w:isLgl w:val="false"/>
      <w:suff w:val="tab"/>
      <w:lvlText w:val=""/>
      <w:lvlJc w:val="left"/>
      <w:pPr>
        <w:ind w:left="5029" w:hanging="360"/>
      </w:pPr>
      <w:rPr>
        <w:rFonts w:ascii="Wingdings" w:hAnsi="Wingdings"/>
      </w:rPr>
    </w:lvl>
    <w:lvl w:ilvl="6">
      <w:start w:val="1"/>
      <w:numFmt w:val="bullet"/>
      <w:isLgl w:val="false"/>
      <w:suff w:val="tab"/>
      <w:lvlText w:val=""/>
      <w:lvlJc w:val="left"/>
      <w:pPr>
        <w:ind w:left="5749" w:hanging="360"/>
      </w:pPr>
      <w:rPr>
        <w:rFonts w:ascii="Symbol" w:hAnsi="Symbol"/>
      </w:rPr>
    </w:lvl>
    <w:lvl w:ilvl="7">
      <w:start w:val="1"/>
      <w:numFmt w:val="bullet"/>
      <w:isLgl w:val="false"/>
      <w:suff w:val="tab"/>
      <w:lvlText w:val="o"/>
      <w:lvlJc w:val="left"/>
      <w:pPr>
        <w:ind w:left="6469" w:hanging="360"/>
      </w:pPr>
      <w:rPr>
        <w:rFonts w:ascii="Courier New" w:hAnsi="Courier New" w:cs="Courier New"/>
      </w:rPr>
    </w:lvl>
    <w:lvl w:ilvl="8">
      <w:start w:val="1"/>
      <w:numFmt w:val="bullet"/>
      <w:isLgl w:val="false"/>
      <w:suff w:val="tab"/>
      <w:lvlText w:val=""/>
      <w:lvlJc w:val="left"/>
      <w:pPr>
        <w:ind w:left="7189" w:hanging="360"/>
      </w:pPr>
      <w:rPr>
        <w:rFonts w:ascii="Wingdings" w:hAnsi="Wingdings"/>
      </w:rPr>
    </w:lvl>
  </w:abstractNum>
  <w:abstractNum w:abstractNumId="6">
    <w:multiLevelType w:val="hybridMultilevel"/>
    <w:lvl w:ilvl="0">
      <w:start w:val="0"/>
      <w:numFmt w:val="bullet"/>
      <w:isLgl w:val="false"/>
      <w:suff w:val="tab"/>
      <w:lvlText w:val=""/>
      <w:lvlJc w:val="left"/>
      <w:pPr>
        <w:ind w:left="786" w:hanging="360"/>
      </w:pPr>
      <w:rPr>
        <w:rFonts w:ascii="Symbol" w:hAnsi="Symbol" w:cs="Symbol"/>
        <w:sz w:val="24"/>
        <w:szCs w:val="24"/>
      </w:rPr>
    </w:lvl>
    <w:lvl w:ilvl="1">
      <w:start w:val="0"/>
      <w:numFmt w:val="decimal"/>
      <w:isLgl w:val="false"/>
      <w:suff w:val="tab"/>
      <w:lvlText w:val=""/>
      <w:lvlJc w:val="left"/>
      <w:pPr>
        <w:ind w:left="-850" w:firstLine="0"/>
      </w:pPr>
    </w:lvl>
    <w:lvl w:ilvl="2">
      <w:start w:val="0"/>
      <w:numFmt w:val="decimal"/>
      <w:isLgl w:val="false"/>
      <w:suff w:val="tab"/>
      <w:lvlText w:val=""/>
      <w:lvlJc w:val="left"/>
      <w:pPr>
        <w:ind w:left="-850" w:firstLine="0"/>
      </w:pPr>
    </w:lvl>
    <w:lvl w:ilvl="3">
      <w:start w:val="0"/>
      <w:numFmt w:val="decimal"/>
      <w:isLgl w:val="false"/>
      <w:suff w:val="tab"/>
      <w:lvlText w:val=""/>
      <w:lvlJc w:val="left"/>
      <w:pPr>
        <w:ind w:left="-850" w:firstLine="0"/>
      </w:pPr>
    </w:lvl>
    <w:lvl w:ilvl="4">
      <w:start w:val="0"/>
      <w:numFmt w:val="decimal"/>
      <w:isLgl w:val="false"/>
      <w:suff w:val="tab"/>
      <w:lvlText w:val=""/>
      <w:lvlJc w:val="left"/>
      <w:pPr>
        <w:ind w:left="-850" w:firstLine="0"/>
      </w:pPr>
    </w:lvl>
    <w:lvl w:ilvl="5">
      <w:start w:val="0"/>
      <w:numFmt w:val="decimal"/>
      <w:isLgl w:val="false"/>
      <w:suff w:val="tab"/>
      <w:lvlText w:val=""/>
      <w:lvlJc w:val="left"/>
      <w:pPr>
        <w:ind w:left="-850" w:firstLine="0"/>
      </w:pPr>
    </w:lvl>
    <w:lvl w:ilvl="6">
      <w:start w:val="0"/>
      <w:numFmt w:val="decimal"/>
      <w:isLgl w:val="false"/>
      <w:suff w:val="tab"/>
      <w:lvlText w:val=""/>
      <w:lvlJc w:val="left"/>
      <w:pPr>
        <w:ind w:left="-850" w:firstLine="0"/>
      </w:pPr>
    </w:lvl>
    <w:lvl w:ilvl="7">
      <w:start w:val="0"/>
      <w:numFmt w:val="decimal"/>
      <w:isLgl w:val="false"/>
      <w:suff w:val="tab"/>
      <w:lvlText w:val=""/>
      <w:lvlJc w:val="left"/>
      <w:pPr>
        <w:ind w:left="-850" w:firstLine="0"/>
      </w:pPr>
    </w:lvl>
    <w:lvl w:ilvl="8">
      <w:start w:val="0"/>
      <w:numFmt w:val="decimal"/>
      <w:isLgl w:val="false"/>
      <w:suff w:val="tab"/>
      <w:lvlText w:val=""/>
      <w:lvlJc w:val="left"/>
      <w:pPr>
        <w:ind w:left="-850" w:firstLine="0"/>
      </w:pPr>
    </w:lvl>
  </w:abstractNum>
  <w:abstractNum w:abstractNumId="7">
    <w:multiLevelType w:val="hybridMultilevel"/>
    <w:lvl w:ilvl="0">
      <w:start w:val="1"/>
      <w:numFmt w:val="bullet"/>
      <w:isLgl w:val="false"/>
      <w:suff w:val="tab"/>
      <w:lvlText w:val=""/>
      <w:lvlJc w:val="left"/>
      <w:pPr>
        <w:ind w:left="1429" w:hanging="360"/>
      </w:pPr>
      <w:rPr>
        <w:rFonts w:ascii="Symbol" w:hAnsi="Symbol"/>
      </w:rPr>
    </w:lvl>
    <w:lvl w:ilvl="1">
      <w:start w:val="1"/>
      <w:numFmt w:val="bullet"/>
      <w:isLgl w:val="false"/>
      <w:suff w:val="tab"/>
      <w:lvlText w:val="o"/>
      <w:lvlJc w:val="left"/>
      <w:pPr>
        <w:ind w:left="2149" w:hanging="360"/>
      </w:pPr>
      <w:rPr>
        <w:rFonts w:ascii="Courier New" w:hAnsi="Courier New" w:cs="Courier New"/>
      </w:rPr>
    </w:lvl>
    <w:lvl w:ilvl="2">
      <w:start w:val="1"/>
      <w:numFmt w:val="bullet"/>
      <w:isLgl w:val="false"/>
      <w:suff w:val="tab"/>
      <w:lvlText w:val=""/>
      <w:lvlJc w:val="left"/>
      <w:pPr>
        <w:ind w:left="2869" w:hanging="360"/>
      </w:pPr>
      <w:rPr>
        <w:rFonts w:ascii="Wingdings" w:hAnsi="Wingdings"/>
      </w:rPr>
    </w:lvl>
    <w:lvl w:ilvl="3">
      <w:start w:val="1"/>
      <w:numFmt w:val="bullet"/>
      <w:isLgl w:val="false"/>
      <w:suff w:val="tab"/>
      <w:lvlText w:val=""/>
      <w:lvlJc w:val="left"/>
      <w:pPr>
        <w:ind w:left="3589" w:hanging="360"/>
      </w:pPr>
      <w:rPr>
        <w:rFonts w:ascii="Symbol" w:hAnsi="Symbol"/>
      </w:rPr>
    </w:lvl>
    <w:lvl w:ilvl="4">
      <w:start w:val="1"/>
      <w:numFmt w:val="bullet"/>
      <w:isLgl w:val="false"/>
      <w:suff w:val="tab"/>
      <w:lvlText w:val="o"/>
      <w:lvlJc w:val="left"/>
      <w:pPr>
        <w:ind w:left="4309" w:hanging="360"/>
      </w:pPr>
      <w:rPr>
        <w:rFonts w:ascii="Courier New" w:hAnsi="Courier New" w:cs="Courier New"/>
      </w:rPr>
    </w:lvl>
    <w:lvl w:ilvl="5">
      <w:start w:val="1"/>
      <w:numFmt w:val="bullet"/>
      <w:isLgl w:val="false"/>
      <w:suff w:val="tab"/>
      <w:lvlText w:val=""/>
      <w:lvlJc w:val="left"/>
      <w:pPr>
        <w:ind w:left="5029" w:hanging="360"/>
      </w:pPr>
      <w:rPr>
        <w:rFonts w:ascii="Wingdings" w:hAnsi="Wingdings"/>
      </w:rPr>
    </w:lvl>
    <w:lvl w:ilvl="6">
      <w:start w:val="1"/>
      <w:numFmt w:val="bullet"/>
      <w:isLgl w:val="false"/>
      <w:suff w:val="tab"/>
      <w:lvlText w:val=""/>
      <w:lvlJc w:val="left"/>
      <w:pPr>
        <w:ind w:left="5749" w:hanging="360"/>
      </w:pPr>
      <w:rPr>
        <w:rFonts w:ascii="Symbol" w:hAnsi="Symbol"/>
      </w:rPr>
    </w:lvl>
    <w:lvl w:ilvl="7">
      <w:start w:val="1"/>
      <w:numFmt w:val="bullet"/>
      <w:isLgl w:val="false"/>
      <w:suff w:val="tab"/>
      <w:lvlText w:val="o"/>
      <w:lvlJc w:val="left"/>
      <w:pPr>
        <w:ind w:left="6469" w:hanging="360"/>
      </w:pPr>
      <w:rPr>
        <w:rFonts w:ascii="Courier New" w:hAnsi="Courier New" w:cs="Courier New"/>
      </w:rPr>
    </w:lvl>
    <w:lvl w:ilvl="8">
      <w:start w:val="1"/>
      <w:numFmt w:val="bullet"/>
      <w:isLgl w:val="false"/>
      <w:suff w:val="tab"/>
      <w:lvlText w:val=""/>
      <w:lvlJc w:val="left"/>
      <w:pPr>
        <w:ind w:left="7189" w:hanging="360"/>
      </w:pPr>
      <w:rPr>
        <w:rFonts w:ascii="Wingdings" w:hAnsi="Wingdings"/>
      </w:rPr>
    </w:lvl>
  </w:abstractNum>
  <w:abstractNum w:abstractNumId="8">
    <w:multiLevelType w:val="hybridMultilevel"/>
    <w:lvl w:ilvl="0">
      <w:start w:val="1"/>
      <w:numFmt w:val="bullet"/>
      <w:isLgl w:val="false"/>
      <w:suff w:val="tab"/>
      <w:lvlText w:val=""/>
      <w:lvlJc w:val="left"/>
      <w:pPr>
        <w:ind w:left="1428" w:hanging="360"/>
      </w:pPr>
      <w:rPr>
        <w:rFonts w:ascii="Symbol" w:hAnsi="Symbol"/>
      </w:rPr>
    </w:lvl>
    <w:lvl w:ilvl="1">
      <w:start w:val="1"/>
      <w:numFmt w:val="bullet"/>
      <w:isLgl w:val="false"/>
      <w:suff w:val="tab"/>
      <w:lvlText w:val="o"/>
      <w:lvlJc w:val="left"/>
      <w:pPr>
        <w:ind w:left="2148" w:hanging="360"/>
      </w:pPr>
      <w:rPr>
        <w:rFonts w:ascii="Courier New" w:hAnsi="Courier New" w:cs="Courier New"/>
      </w:rPr>
    </w:lvl>
    <w:lvl w:ilvl="2">
      <w:start w:val="1"/>
      <w:numFmt w:val="bullet"/>
      <w:isLgl w:val="false"/>
      <w:suff w:val="tab"/>
      <w:lvlText w:val=""/>
      <w:lvlJc w:val="left"/>
      <w:pPr>
        <w:ind w:left="2868" w:hanging="360"/>
      </w:pPr>
      <w:rPr>
        <w:rFonts w:ascii="Wingdings" w:hAnsi="Wingdings"/>
      </w:rPr>
    </w:lvl>
    <w:lvl w:ilvl="3">
      <w:start w:val="1"/>
      <w:numFmt w:val="bullet"/>
      <w:isLgl w:val="false"/>
      <w:suff w:val="tab"/>
      <w:lvlText w:val=""/>
      <w:lvlJc w:val="left"/>
      <w:pPr>
        <w:ind w:left="3588" w:hanging="360"/>
      </w:pPr>
      <w:rPr>
        <w:rFonts w:ascii="Symbol" w:hAnsi="Symbol"/>
      </w:rPr>
    </w:lvl>
    <w:lvl w:ilvl="4">
      <w:start w:val="1"/>
      <w:numFmt w:val="bullet"/>
      <w:isLgl w:val="false"/>
      <w:suff w:val="tab"/>
      <w:lvlText w:val="o"/>
      <w:lvlJc w:val="left"/>
      <w:pPr>
        <w:ind w:left="4308" w:hanging="360"/>
      </w:pPr>
      <w:rPr>
        <w:rFonts w:ascii="Courier New" w:hAnsi="Courier New" w:cs="Courier New"/>
      </w:rPr>
    </w:lvl>
    <w:lvl w:ilvl="5">
      <w:start w:val="1"/>
      <w:numFmt w:val="bullet"/>
      <w:isLgl w:val="false"/>
      <w:suff w:val="tab"/>
      <w:lvlText w:val=""/>
      <w:lvlJc w:val="left"/>
      <w:pPr>
        <w:ind w:left="5028" w:hanging="360"/>
      </w:pPr>
      <w:rPr>
        <w:rFonts w:ascii="Wingdings" w:hAnsi="Wingdings"/>
      </w:rPr>
    </w:lvl>
    <w:lvl w:ilvl="6">
      <w:start w:val="1"/>
      <w:numFmt w:val="bullet"/>
      <w:isLgl w:val="false"/>
      <w:suff w:val="tab"/>
      <w:lvlText w:val=""/>
      <w:lvlJc w:val="left"/>
      <w:pPr>
        <w:ind w:left="5748" w:hanging="360"/>
      </w:pPr>
      <w:rPr>
        <w:rFonts w:ascii="Symbol" w:hAnsi="Symbol"/>
      </w:rPr>
    </w:lvl>
    <w:lvl w:ilvl="7">
      <w:start w:val="1"/>
      <w:numFmt w:val="bullet"/>
      <w:isLgl w:val="false"/>
      <w:suff w:val="tab"/>
      <w:lvlText w:val="o"/>
      <w:lvlJc w:val="left"/>
      <w:pPr>
        <w:ind w:left="6468" w:hanging="360"/>
      </w:pPr>
      <w:rPr>
        <w:rFonts w:ascii="Courier New" w:hAnsi="Courier New" w:cs="Courier New"/>
      </w:rPr>
    </w:lvl>
    <w:lvl w:ilvl="8">
      <w:start w:val="1"/>
      <w:numFmt w:val="bullet"/>
      <w:isLgl w:val="false"/>
      <w:suff w:val="tab"/>
      <w:lvlText w:val=""/>
      <w:lvlJc w:val="left"/>
      <w:pPr>
        <w:ind w:left="7188" w:hanging="360"/>
      </w:pPr>
      <w:rPr>
        <w:rFonts w:ascii="Wingdings" w:hAnsi="Wingdings"/>
      </w:rPr>
    </w:lvl>
  </w:abstractNum>
  <w:abstractNum w:abstractNumId="9">
    <w:multiLevelType w:val="hybridMultilevel"/>
    <w:lvl w:ilvl="0">
      <w:start w:val="1"/>
      <w:numFmt w:val="bullet"/>
      <w:isLgl w:val="false"/>
      <w:suff w:val="tab"/>
      <w:lvlText w:val=""/>
      <w:lvlJc w:val="left"/>
      <w:pPr>
        <w:ind w:left="720" w:hanging="360"/>
      </w:pPr>
      <w:rPr>
        <w:rFonts w:ascii="Symbol" w:hAnsi="Symbol"/>
      </w:rPr>
    </w:lvl>
    <w:lvl w:ilvl="1">
      <w:start w:val="1"/>
      <w:numFmt w:val="bullet"/>
      <w:isLgl w:val="false"/>
      <w:suff w:val="tab"/>
      <w:lvlText w:val="o"/>
      <w:lvlJc w:val="left"/>
      <w:pPr>
        <w:ind w:left="1440" w:hanging="360"/>
      </w:pPr>
      <w:rPr>
        <w:rFonts w:ascii="Courier New" w:hAnsi="Courier New" w:cs="Courier New"/>
      </w:rPr>
    </w:lvl>
    <w:lvl w:ilvl="2">
      <w:start w:val="1"/>
      <w:numFmt w:val="bullet"/>
      <w:isLgl w:val="false"/>
      <w:suff w:val="tab"/>
      <w:lvlText w:val=""/>
      <w:lvlJc w:val="left"/>
      <w:pPr>
        <w:ind w:left="2160" w:hanging="360"/>
      </w:pPr>
      <w:rPr>
        <w:rFonts w:ascii="Wingdings" w:hAnsi="Wingdings"/>
      </w:rPr>
    </w:lvl>
    <w:lvl w:ilvl="3">
      <w:start w:val="1"/>
      <w:numFmt w:val="bullet"/>
      <w:isLgl w:val="false"/>
      <w:suff w:val="tab"/>
      <w:lvlText w:val=""/>
      <w:lvlJc w:val="left"/>
      <w:pPr>
        <w:ind w:left="2880" w:hanging="360"/>
      </w:pPr>
      <w:rPr>
        <w:rFonts w:ascii="Symbol" w:hAnsi="Symbol"/>
      </w:rPr>
    </w:lvl>
    <w:lvl w:ilvl="4">
      <w:start w:val="1"/>
      <w:numFmt w:val="bullet"/>
      <w:isLgl w:val="false"/>
      <w:suff w:val="tab"/>
      <w:lvlText w:val="o"/>
      <w:lvlJc w:val="left"/>
      <w:pPr>
        <w:ind w:left="3600" w:hanging="360"/>
      </w:pPr>
      <w:rPr>
        <w:rFonts w:ascii="Courier New" w:hAnsi="Courier New" w:cs="Courier New"/>
      </w:rPr>
    </w:lvl>
    <w:lvl w:ilvl="5">
      <w:start w:val="1"/>
      <w:numFmt w:val="bullet"/>
      <w:isLgl w:val="false"/>
      <w:suff w:val="tab"/>
      <w:lvlText w:val=""/>
      <w:lvlJc w:val="left"/>
      <w:pPr>
        <w:ind w:left="4320" w:hanging="360"/>
      </w:pPr>
      <w:rPr>
        <w:rFonts w:ascii="Wingdings" w:hAnsi="Wingdings"/>
      </w:rPr>
    </w:lvl>
    <w:lvl w:ilvl="6">
      <w:start w:val="1"/>
      <w:numFmt w:val="bullet"/>
      <w:isLgl w:val="false"/>
      <w:suff w:val="tab"/>
      <w:lvlText w:val=""/>
      <w:lvlJc w:val="left"/>
      <w:pPr>
        <w:ind w:left="5040" w:hanging="360"/>
      </w:pPr>
      <w:rPr>
        <w:rFonts w:ascii="Symbol" w:hAnsi="Symbol"/>
      </w:rPr>
    </w:lvl>
    <w:lvl w:ilvl="7">
      <w:start w:val="1"/>
      <w:numFmt w:val="bullet"/>
      <w:isLgl w:val="false"/>
      <w:suff w:val="tab"/>
      <w:lvlText w:val="o"/>
      <w:lvlJc w:val="left"/>
      <w:pPr>
        <w:ind w:left="5760" w:hanging="360"/>
      </w:pPr>
      <w:rPr>
        <w:rFonts w:ascii="Courier New" w:hAnsi="Courier New" w:cs="Courier New"/>
      </w:rPr>
    </w:lvl>
    <w:lvl w:ilvl="8">
      <w:start w:val="1"/>
      <w:numFmt w:val="bullet"/>
      <w:isLgl w:val="false"/>
      <w:suff w:val="tab"/>
      <w:lvlText w:val=""/>
      <w:lvlJc w:val="left"/>
      <w:pPr>
        <w:ind w:left="6480" w:hanging="360"/>
      </w:pPr>
      <w:rPr>
        <w:rFonts w:ascii="Wingdings" w:hAnsi="Wingdings"/>
      </w:rPr>
    </w:lvl>
  </w:abstractNum>
  <w:abstractNum w:abstractNumId="10">
    <w:multiLevelType w:val="hybridMultilevel"/>
    <w:lvl w:ilvl="0">
      <w:start w:val="1"/>
      <w:numFmt w:val="bullet"/>
      <w:isLgl w:val="false"/>
      <w:suff w:val="tab"/>
      <w:lvlText w:val=""/>
      <w:lvlJc w:val="left"/>
      <w:pPr>
        <w:ind w:left="720" w:hanging="360"/>
      </w:pPr>
      <w:rPr>
        <w:rFonts w:ascii="Symbol" w:hAnsi="Symbol"/>
      </w:rPr>
    </w:lvl>
    <w:lvl w:ilvl="1">
      <w:start w:val="1"/>
      <w:numFmt w:val="bullet"/>
      <w:isLgl w:val="false"/>
      <w:suff w:val="tab"/>
      <w:lvlText w:val="o"/>
      <w:lvlJc w:val="left"/>
      <w:pPr>
        <w:ind w:left="1440" w:hanging="360"/>
      </w:pPr>
      <w:rPr>
        <w:rFonts w:ascii="Courier New" w:hAnsi="Courier New" w:cs="Courier New"/>
      </w:rPr>
    </w:lvl>
    <w:lvl w:ilvl="2">
      <w:start w:val="1"/>
      <w:numFmt w:val="bullet"/>
      <w:isLgl w:val="false"/>
      <w:suff w:val="tab"/>
      <w:lvlText w:val=""/>
      <w:lvlJc w:val="left"/>
      <w:pPr>
        <w:ind w:left="2160" w:hanging="360"/>
      </w:pPr>
      <w:rPr>
        <w:rFonts w:ascii="Wingdings" w:hAnsi="Wingdings"/>
      </w:rPr>
    </w:lvl>
    <w:lvl w:ilvl="3">
      <w:start w:val="1"/>
      <w:numFmt w:val="bullet"/>
      <w:isLgl w:val="false"/>
      <w:suff w:val="tab"/>
      <w:lvlText w:val=""/>
      <w:lvlJc w:val="left"/>
      <w:pPr>
        <w:ind w:left="2880" w:hanging="360"/>
      </w:pPr>
      <w:rPr>
        <w:rFonts w:ascii="Symbol" w:hAnsi="Symbol"/>
      </w:rPr>
    </w:lvl>
    <w:lvl w:ilvl="4">
      <w:start w:val="1"/>
      <w:numFmt w:val="bullet"/>
      <w:isLgl w:val="false"/>
      <w:suff w:val="tab"/>
      <w:lvlText w:val="o"/>
      <w:lvlJc w:val="left"/>
      <w:pPr>
        <w:ind w:left="3600" w:hanging="360"/>
      </w:pPr>
      <w:rPr>
        <w:rFonts w:ascii="Courier New" w:hAnsi="Courier New" w:cs="Courier New"/>
      </w:rPr>
    </w:lvl>
    <w:lvl w:ilvl="5">
      <w:start w:val="1"/>
      <w:numFmt w:val="bullet"/>
      <w:isLgl w:val="false"/>
      <w:suff w:val="tab"/>
      <w:lvlText w:val=""/>
      <w:lvlJc w:val="left"/>
      <w:pPr>
        <w:ind w:left="4320" w:hanging="360"/>
      </w:pPr>
      <w:rPr>
        <w:rFonts w:ascii="Wingdings" w:hAnsi="Wingdings"/>
      </w:rPr>
    </w:lvl>
    <w:lvl w:ilvl="6">
      <w:start w:val="1"/>
      <w:numFmt w:val="bullet"/>
      <w:isLgl w:val="false"/>
      <w:suff w:val="tab"/>
      <w:lvlText w:val=""/>
      <w:lvlJc w:val="left"/>
      <w:pPr>
        <w:ind w:left="5040" w:hanging="360"/>
      </w:pPr>
      <w:rPr>
        <w:rFonts w:ascii="Symbol" w:hAnsi="Symbol"/>
      </w:rPr>
    </w:lvl>
    <w:lvl w:ilvl="7">
      <w:start w:val="1"/>
      <w:numFmt w:val="bullet"/>
      <w:isLgl w:val="false"/>
      <w:suff w:val="tab"/>
      <w:lvlText w:val="o"/>
      <w:lvlJc w:val="left"/>
      <w:pPr>
        <w:ind w:left="5760" w:hanging="360"/>
      </w:pPr>
      <w:rPr>
        <w:rFonts w:ascii="Courier New" w:hAnsi="Courier New" w:cs="Courier New"/>
      </w:rPr>
    </w:lvl>
    <w:lvl w:ilvl="8">
      <w:start w:val="1"/>
      <w:numFmt w:val="bullet"/>
      <w:isLgl w:val="false"/>
      <w:suff w:val="tab"/>
      <w:lvlText w:val=""/>
      <w:lvlJc w:val="left"/>
      <w:pPr>
        <w:ind w:left="6480" w:hanging="360"/>
      </w:pPr>
      <w:rPr>
        <w:rFonts w:ascii="Wingdings" w:hAnsi="Wingdings"/>
      </w:rPr>
    </w:lvl>
  </w:abstractNum>
  <w:abstractNum w:abstractNumId="11">
    <w:multiLevelType w:val="hybridMultilevel"/>
    <w:lvl w:ilvl="0">
      <w:start w:val="1"/>
      <w:numFmt w:val="bullet"/>
      <w:isLgl w:val="false"/>
      <w:suff w:val="tab"/>
      <w:lvlText w:val=""/>
      <w:lvlJc w:val="left"/>
      <w:pPr>
        <w:ind w:left="720" w:hanging="360"/>
      </w:pPr>
      <w:rPr>
        <w:rFonts w:ascii="Symbol" w:hAnsi="Symbol"/>
      </w:rPr>
    </w:lvl>
    <w:lvl w:ilvl="1">
      <w:start w:val="1"/>
      <w:numFmt w:val="bullet"/>
      <w:isLgl w:val="false"/>
      <w:suff w:val="tab"/>
      <w:lvlText w:val="o"/>
      <w:lvlJc w:val="left"/>
      <w:pPr>
        <w:ind w:left="1440" w:hanging="360"/>
      </w:pPr>
      <w:rPr>
        <w:rFonts w:ascii="Courier New" w:hAnsi="Courier New" w:cs="Courier New"/>
      </w:rPr>
    </w:lvl>
    <w:lvl w:ilvl="2">
      <w:start w:val="1"/>
      <w:numFmt w:val="bullet"/>
      <w:isLgl w:val="false"/>
      <w:suff w:val="tab"/>
      <w:lvlText w:val=""/>
      <w:lvlJc w:val="left"/>
      <w:pPr>
        <w:ind w:left="2160" w:hanging="360"/>
      </w:pPr>
      <w:rPr>
        <w:rFonts w:ascii="Wingdings" w:hAnsi="Wingdings"/>
      </w:rPr>
    </w:lvl>
    <w:lvl w:ilvl="3">
      <w:start w:val="1"/>
      <w:numFmt w:val="bullet"/>
      <w:isLgl w:val="false"/>
      <w:suff w:val="tab"/>
      <w:lvlText w:val=""/>
      <w:lvlJc w:val="left"/>
      <w:pPr>
        <w:ind w:left="2880" w:hanging="360"/>
      </w:pPr>
      <w:rPr>
        <w:rFonts w:ascii="Symbol" w:hAnsi="Symbol"/>
      </w:rPr>
    </w:lvl>
    <w:lvl w:ilvl="4">
      <w:start w:val="1"/>
      <w:numFmt w:val="bullet"/>
      <w:isLgl w:val="false"/>
      <w:suff w:val="tab"/>
      <w:lvlText w:val="o"/>
      <w:lvlJc w:val="left"/>
      <w:pPr>
        <w:ind w:left="3600" w:hanging="360"/>
      </w:pPr>
      <w:rPr>
        <w:rFonts w:ascii="Courier New" w:hAnsi="Courier New" w:cs="Courier New"/>
      </w:rPr>
    </w:lvl>
    <w:lvl w:ilvl="5">
      <w:start w:val="1"/>
      <w:numFmt w:val="bullet"/>
      <w:isLgl w:val="false"/>
      <w:suff w:val="tab"/>
      <w:lvlText w:val=""/>
      <w:lvlJc w:val="left"/>
      <w:pPr>
        <w:ind w:left="4320" w:hanging="360"/>
      </w:pPr>
      <w:rPr>
        <w:rFonts w:ascii="Wingdings" w:hAnsi="Wingdings"/>
      </w:rPr>
    </w:lvl>
    <w:lvl w:ilvl="6">
      <w:start w:val="1"/>
      <w:numFmt w:val="bullet"/>
      <w:isLgl w:val="false"/>
      <w:suff w:val="tab"/>
      <w:lvlText w:val=""/>
      <w:lvlJc w:val="left"/>
      <w:pPr>
        <w:ind w:left="5040" w:hanging="360"/>
      </w:pPr>
      <w:rPr>
        <w:rFonts w:ascii="Symbol" w:hAnsi="Symbol"/>
      </w:rPr>
    </w:lvl>
    <w:lvl w:ilvl="7">
      <w:start w:val="1"/>
      <w:numFmt w:val="bullet"/>
      <w:isLgl w:val="false"/>
      <w:suff w:val="tab"/>
      <w:lvlText w:val="o"/>
      <w:lvlJc w:val="left"/>
      <w:pPr>
        <w:ind w:left="5760" w:hanging="360"/>
      </w:pPr>
      <w:rPr>
        <w:rFonts w:ascii="Courier New" w:hAnsi="Courier New" w:cs="Courier New"/>
      </w:rPr>
    </w:lvl>
    <w:lvl w:ilvl="8">
      <w:start w:val="1"/>
      <w:numFmt w:val="bullet"/>
      <w:isLgl w:val="false"/>
      <w:suff w:val="tab"/>
      <w:lvlText w:val=""/>
      <w:lvlJc w:val="left"/>
      <w:pPr>
        <w:ind w:left="6480" w:hanging="360"/>
      </w:pPr>
      <w:rPr>
        <w:rFonts w:ascii="Wingdings" w:hAnsi="Wingdings"/>
      </w:rPr>
    </w:lvl>
  </w:abstractNum>
  <w:abstractNum w:abstractNumId="12">
    <w:multiLevelType w:val="hybridMultilevel"/>
    <w:lvl w:ilvl="0">
      <w:start w:val="3"/>
      <w:numFmt w:val="decimal"/>
      <w:isLgl w:val="false"/>
      <w:suff w:val="tab"/>
      <w:lvlText w:val="%1."/>
      <w:lvlJc w:val="left"/>
      <w:pPr>
        <w:ind w:left="1080" w:hanging="360"/>
      </w:pPr>
    </w:lvl>
    <w:lvl w:ilvl="1">
      <w:start w:val="1"/>
      <w:numFmt w:val="lowerLetter"/>
      <w:isLgl w:val="false"/>
      <w:suff w:val="tab"/>
      <w:lvlText w:val="%2."/>
      <w:lvlJc w:val="left"/>
      <w:pPr>
        <w:ind w:left="1800" w:hanging="360"/>
      </w:pPr>
    </w:lvl>
    <w:lvl w:ilvl="2">
      <w:start w:val="1"/>
      <w:numFmt w:val="lowerRoman"/>
      <w:isLgl w:val="false"/>
      <w:suff w:val="tab"/>
      <w:lvlText w:val="%3."/>
      <w:lvlJc w:val="right"/>
      <w:pPr>
        <w:ind w:left="2520" w:hanging="180"/>
      </w:pPr>
    </w:lvl>
    <w:lvl w:ilvl="3">
      <w:start w:val="1"/>
      <w:numFmt w:val="decimal"/>
      <w:isLgl w:val="false"/>
      <w:suff w:val="tab"/>
      <w:lvlText w:val="%4."/>
      <w:lvlJc w:val="left"/>
      <w:pPr>
        <w:ind w:left="3240" w:hanging="360"/>
      </w:pPr>
    </w:lvl>
    <w:lvl w:ilvl="4">
      <w:start w:val="1"/>
      <w:numFmt w:val="lowerLetter"/>
      <w:isLgl w:val="false"/>
      <w:suff w:val="tab"/>
      <w:lvlText w:val="%5."/>
      <w:lvlJc w:val="left"/>
      <w:pPr>
        <w:ind w:left="3960" w:hanging="360"/>
      </w:pPr>
    </w:lvl>
    <w:lvl w:ilvl="5">
      <w:start w:val="1"/>
      <w:numFmt w:val="lowerRoman"/>
      <w:isLgl w:val="false"/>
      <w:suff w:val="tab"/>
      <w:lvlText w:val="%6."/>
      <w:lvlJc w:val="right"/>
      <w:pPr>
        <w:ind w:left="4680" w:hanging="180"/>
      </w:pPr>
    </w:lvl>
    <w:lvl w:ilvl="6">
      <w:start w:val="1"/>
      <w:numFmt w:val="decimal"/>
      <w:isLgl w:val="false"/>
      <w:suff w:val="tab"/>
      <w:lvlText w:val="%7."/>
      <w:lvlJc w:val="left"/>
      <w:pPr>
        <w:ind w:left="5400" w:hanging="360"/>
      </w:pPr>
    </w:lvl>
    <w:lvl w:ilvl="7">
      <w:start w:val="1"/>
      <w:numFmt w:val="lowerLetter"/>
      <w:isLgl w:val="false"/>
      <w:suff w:val="tab"/>
      <w:lvlText w:val="%8."/>
      <w:lvlJc w:val="left"/>
      <w:pPr>
        <w:ind w:left="6120" w:hanging="360"/>
      </w:pPr>
    </w:lvl>
    <w:lvl w:ilvl="8">
      <w:start w:val="1"/>
      <w:numFmt w:val="lowerRoman"/>
      <w:isLgl w:val="false"/>
      <w:suff w:val="tab"/>
      <w:lvlText w:val="%9."/>
      <w:lvlJc w:val="right"/>
      <w:pPr>
        <w:ind w:left="6840" w:hanging="180"/>
      </w:pPr>
    </w:lvl>
  </w:abstractNum>
  <w:abstractNum w:abstractNumId="13">
    <w:multiLevelType w:val="hybridMultilevel"/>
    <w:lvl w:ilvl="0">
      <w:start w:val="1"/>
      <w:numFmt w:val="bullet"/>
      <w:isLgl w:val="false"/>
      <w:suff w:val="tab"/>
      <w:lvlText w:val=""/>
      <w:lvlJc w:val="left"/>
      <w:pPr>
        <w:ind w:left="1428" w:hanging="360"/>
      </w:pPr>
      <w:rPr>
        <w:rFonts w:ascii="Symbol" w:hAnsi="Symbol"/>
      </w:rPr>
    </w:lvl>
    <w:lvl w:ilvl="1">
      <w:start w:val="1"/>
      <w:numFmt w:val="bullet"/>
      <w:isLgl w:val="false"/>
      <w:suff w:val="tab"/>
      <w:lvlText w:val="o"/>
      <w:lvlJc w:val="left"/>
      <w:pPr>
        <w:ind w:left="2148" w:hanging="360"/>
      </w:pPr>
      <w:rPr>
        <w:rFonts w:ascii="Courier New" w:hAnsi="Courier New" w:cs="Courier New"/>
      </w:rPr>
    </w:lvl>
    <w:lvl w:ilvl="2">
      <w:start w:val="1"/>
      <w:numFmt w:val="bullet"/>
      <w:isLgl w:val="false"/>
      <w:suff w:val="tab"/>
      <w:lvlText w:val=""/>
      <w:lvlJc w:val="left"/>
      <w:pPr>
        <w:ind w:left="2868" w:hanging="360"/>
      </w:pPr>
      <w:rPr>
        <w:rFonts w:ascii="Wingdings" w:hAnsi="Wingdings"/>
      </w:rPr>
    </w:lvl>
    <w:lvl w:ilvl="3">
      <w:start w:val="1"/>
      <w:numFmt w:val="bullet"/>
      <w:isLgl w:val="false"/>
      <w:suff w:val="tab"/>
      <w:lvlText w:val=""/>
      <w:lvlJc w:val="left"/>
      <w:pPr>
        <w:ind w:left="3588" w:hanging="360"/>
      </w:pPr>
      <w:rPr>
        <w:rFonts w:ascii="Symbol" w:hAnsi="Symbol"/>
      </w:rPr>
    </w:lvl>
    <w:lvl w:ilvl="4">
      <w:start w:val="1"/>
      <w:numFmt w:val="bullet"/>
      <w:isLgl w:val="false"/>
      <w:suff w:val="tab"/>
      <w:lvlText w:val="o"/>
      <w:lvlJc w:val="left"/>
      <w:pPr>
        <w:ind w:left="4308" w:hanging="360"/>
      </w:pPr>
      <w:rPr>
        <w:rFonts w:ascii="Courier New" w:hAnsi="Courier New" w:cs="Courier New"/>
      </w:rPr>
    </w:lvl>
    <w:lvl w:ilvl="5">
      <w:start w:val="1"/>
      <w:numFmt w:val="bullet"/>
      <w:isLgl w:val="false"/>
      <w:suff w:val="tab"/>
      <w:lvlText w:val=""/>
      <w:lvlJc w:val="left"/>
      <w:pPr>
        <w:ind w:left="5028" w:hanging="360"/>
      </w:pPr>
      <w:rPr>
        <w:rFonts w:ascii="Wingdings" w:hAnsi="Wingdings"/>
      </w:rPr>
    </w:lvl>
    <w:lvl w:ilvl="6">
      <w:start w:val="1"/>
      <w:numFmt w:val="bullet"/>
      <w:isLgl w:val="false"/>
      <w:suff w:val="tab"/>
      <w:lvlText w:val=""/>
      <w:lvlJc w:val="left"/>
      <w:pPr>
        <w:ind w:left="5748" w:hanging="360"/>
      </w:pPr>
      <w:rPr>
        <w:rFonts w:ascii="Symbol" w:hAnsi="Symbol"/>
      </w:rPr>
    </w:lvl>
    <w:lvl w:ilvl="7">
      <w:start w:val="1"/>
      <w:numFmt w:val="bullet"/>
      <w:isLgl w:val="false"/>
      <w:suff w:val="tab"/>
      <w:lvlText w:val="o"/>
      <w:lvlJc w:val="left"/>
      <w:pPr>
        <w:ind w:left="6468" w:hanging="360"/>
      </w:pPr>
      <w:rPr>
        <w:rFonts w:ascii="Courier New" w:hAnsi="Courier New" w:cs="Courier New"/>
      </w:rPr>
    </w:lvl>
    <w:lvl w:ilvl="8">
      <w:start w:val="1"/>
      <w:numFmt w:val="bullet"/>
      <w:isLgl w:val="false"/>
      <w:suff w:val="tab"/>
      <w:lvlText w:val=""/>
      <w:lvlJc w:val="left"/>
      <w:pPr>
        <w:ind w:left="7188" w:hanging="360"/>
      </w:pPr>
      <w:rPr>
        <w:rFonts w:ascii="Wingdings" w:hAnsi="Wingdings"/>
      </w:rPr>
    </w:lvl>
  </w:abstractNum>
  <w:abstractNum w:abstractNumId="14">
    <w:multiLevelType w:val="hybridMultilevel"/>
    <w:lvl w:ilvl="0">
      <w:start w:val="1"/>
      <w:numFmt w:val="bullet"/>
      <w:isLgl w:val="false"/>
      <w:suff w:val="tab"/>
      <w:lvlText w:val=""/>
      <w:lvlJc w:val="left"/>
      <w:pPr>
        <w:ind w:left="1428" w:hanging="360"/>
      </w:pPr>
      <w:rPr>
        <w:rFonts w:ascii="Symbol" w:hAnsi="Symbol"/>
      </w:rPr>
    </w:lvl>
    <w:lvl w:ilvl="1">
      <w:start w:val="1"/>
      <w:numFmt w:val="bullet"/>
      <w:isLgl w:val="false"/>
      <w:suff w:val="tab"/>
      <w:lvlText w:val="o"/>
      <w:lvlJc w:val="left"/>
      <w:pPr>
        <w:ind w:left="2148" w:hanging="360"/>
      </w:pPr>
      <w:rPr>
        <w:rFonts w:ascii="Courier New" w:hAnsi="Courier New" w:cs="Courier New"/>
      </w:rPr>
    </w:lvl>
    <w:lvl w:ilvl="2">
      <w:start w:val="1"/>
      <w:numFmt w:val="bullet"/>
      <w:isLgl w:val="false"/>
      <w:suff w:val="tab"/>
      <w:lvlText w:val=""/>
      <w:lvlJc w:val="left"/>
      <w:pPr>
        <w:ind w:left="2868" w:hanging="360"/>
      </w:pPr>
      <w:rPr>
        <w:rFonts w:ascii="Wingdings" w:hAnsi="Wingdings"/>
      </w:rPr>
    </w:lvl>
    <w:lvl w:ilvl="3">
      <w:start w:val="1"/>
      <w:numFmt w:val="bullet"/>
      <w:isLgl w:val="false"/>
      <w:suff w:val="tab"/>
      <w:lvlText w:val=""/>
      <w:lvlJc w:val="left"/>
      <w:pPr>
        <w:ind w:left="3588" w:hanging="360"/>
      </w:pPr>
      <w:rPr>
        <w:rFonts w:ascii="Symbol" w:hAnsi="Symbol"/>
      </w:rPr>
    </w:lvl>
    <w:lvl w:ilvl="4">
      <w:start w:val="1"/>
      <w:numFmt w:val="bullet"/>
      <w:isLgl w:val="false"/>
      <w:suff w:val="tab"/>
      <w:lvlText w:val="o"/>
      <w:lvlJc w:val="left"/>
      <w:pPr>
        <w:ind w:left="4308" w:hanging="360"/>
      </w:pPr>
      <w:rPr>
        <w:rFonts w:ascii="Courier New" w:hAnsi="Courier New" w:cs="Courier New"/>
      </w:rPr>
    </w:lvl>
    <w:lvl w:ilvl="5">
      <w:start w:val="1"/>
      <w:numFmt w:val="bullet"/>
      <w:isLgl w:val="false"/>
      <w:suff w:val="tab"/>
      <w:lvlText w:val=""/>
      <w:lvlJc w:val="left"/>
      <w:pPr>
        <w:ind w:left="5028" w:hanging="360"/>
      </w:pPr>
      <w:rPr>
        <w:rFonts w:ascii="Wingdings" w:hAnsi="Wingdings"/>
      </w:rPr>
    </w:lvl>
    <w:lvl w:ilvl="6">
      <w:start w:val="1"/>
      <w:numFmt w:val="bullet"/>
      <w:isLgl w:val="false"/>
      <w:suff w:val="tab"/>
      <w:lvlText w:val=""/>
      <w:lvlJc w:val="left"/>
      <w:pPr>
        <w:ind w:left="5748" w:hanging="360"/>
      </w:pPr>
      <w:rPr>
        <w:rFonts w:ascii="Symbol" w:hAnsi="Symbol"/>
      </w:rPr>
    </w:lvl>
    <w:lvl w:ilvl="7">
      <w:start w:val="1"/>
      <w:numFmt w:val="bullet"/>
      <w:isLgl w:val="false"/>
      <w:suff w:val="tab"/>
      <w:lvlText w:val="o"/>
      <w:lvlJc w:val="left"/>
      <w:pPr>
        <w:ind w:left="6468" w:hanging="360"/>
      </w:pPr>
      <w:rPr>
        <w:rFonts w:ascii="Courier New" w:hAnsi="Courier New" w:cs="Courier New"/>
      </w:rPr>
    </w:lvl>
    <w:lvl w:ilvl="8">
      <w:start w:val="1"/>
      <w:numFmt w:val="bullet"/>
      <w:isLgl w:val="false"/>
      <w:suff w:val="tab"/>
      <w:lvlText w:val=""/>
      <w:lvlJc w:val="left"/>
      <w:pPr>
        <w:ind w:left="7188" w:hanging="360"/>
      </w:pPr>
      <w:rPr>
        <w:rFonts w:ascii="Wingdings" w:hAnsi="Wingdings"/>
      </w:rPr>
    </w:lvl>
  </w:abstractNum>
  <w:abstractNum w:abstractNumId="15">
    <w:multiLevelType w:val="hybridMultilevel"/>
    <w:lvl w:ilvl="0">
      <w:start w:val="1"/>
      <w:numFmt w:val="bullet"/>
      <w:isLgl w:val="false"/>
      <w:suff w:val="tab"/>
      <w:lvlText w:val=""/>
      <w:lvlJc w:val="left"/>
      <w:pPr>
        <w:ind w:left="1429" w:hanging="360"/>
      </w:pPr>
      <w:rPr>
        <w:rFonts w:ascii="Symbol" w:hAnsi="Symbol"/>
      </w:rPr>
    </w:lvl>
    <w:lvl w:ilvl="1">
      <w:start w:val="1"/>
      <w:numFmt w:val="bullet"/>
      <w:isLgl w:val="false"/>
      <w:suff w:val="tab"/>
      <w:lvlText w:val="o"/>
      <w:lvlJc w:val="left"/>
      <w:pPr>
        <w:ind w:left="2149" w:hanging="360"/>
      </w:pPr>
      <w:rPr>
        <w:rFonts w:ascii="Courier New" w:hAnsi="Courier New" w:cs="Courier New"/>
      </w:rPr>
    </w:lvl>
    <w:lvl w:ilvl="2">
      <w:start w:val="1"/>
      <w:numFmt w:val="bullet"/>
      <w:isLgl w:val="false"/>
      <w:suff w:val="tab"/>
      <w:lvlText w:val=""/>
      <w:lvlJc w:val="left"/>
      <w:pPr>
        <w:ind w:left="2869" w:hanging="360"/>
      </w:pPr>
      <w:rPr>
        <w:rFonts w:ascii="Wingdings" w:hAnsi="Wingdings"/>
      </w:rPr>
    </w:lvl>
    <w:lvl w:ilvl="3">
      <w:start w:val="1"/>
      <w:numFmt w:val="bullet"/>
      <w:isLgl w:val="false"/>
      <w:suff w:val="tab"/>
      <w:lvlText w:val=""/>
      <w:lvlJc w:val="left"/>
      <w:pPr>
        <w:ind w:left="3589" w:hanging="360"/>
      </w:pPr>
      <w:rPr>
        <w:rFonts w:ascii="Symbol" w:hAnsi="Symbol"/>
      </w:rPr>
    </w:lvl>
    <w:lvl w:ilvl="4">
      <w:start w:val="1"/>
      <w:numFmt w:val="bullet"/>
      <w:isLgl w:val="false"/>
      <w:suff w:val="tab"/>
      <w:lvlText w:val="o"/>
      <w:lvlJc w:val="left"/>
      <w:pPr>
        <w:ind w:left="4309" w:hanging="360"/>
      </w:pPr>
      <w:rPr>
        <w:rFonts w:ascii="Courier New" w:hAnsi="Courier New" w:cs="Courier New"/>
      </w:rPr>
    </w:lvl>
    <w:lvl w:ilvl="5">
      <w:start w:val="1"/>
      <w:numFmt w:val="bullet"/>
      <w:isLgl w:val="false"/>
      <w:suff w:val="tab"/>
      <w:lvlText w:val=""/>
      <w:lvlJc w:val="left"/>
      <w:pPr>
        <w:ind w:left="5029" w:hanging="360"/>
      </w:pPr>
      <w:rPr>
        <w:rFonts w:ascii="Wingdings" w:hAnsi="Wingdings"/>
      </w:rPr>
    </w:lvl>
    <w:lvl w:ilvl="6">
      <w:start w:val="1"/>
      <w:numFmt w:val="bullet"/>
      <w:isLgl w:val="false"/>
      <w:suff w:val="tab"/>
      <w:lvlText w:val=""/>
      <w:lvlJc w:val="left"/>
      <w:pPr>
        <w:ind w:left="5749" w:hanging="360"/>
      </w:pPr>
      <w:rPr>
        <w:rFonts w:ascii="Symbol" w:hAnsi="Symbol"/>
      </w:rPr>
    </w:lvl>
    <w:lvl w:ilvl="7">
      <w:start w:val="1"/>
      <w:numFmt w:val="bullet"/>
      <w:isLgl w:val="false"/>
      <w:suff w:val="tab"/>
      <w:lvlText w:val="o"/>
      <w:lvlJc w:val="left"/>
      <w:pPr>
        <w:ind w:left="6469" w:hanging="360"/>
      </w:pPr>
      <w:rPr>
        <w:rFonts w:ascii="Courier New" w:hAnsi="Courier New" w:cs="Courier New"/>
      </w:rPr>
    </w:lvl>
    <w:lvl w:ilvl="8">
      <w:start w:val="1"/>
      <w:numFmt w:val="bullet"/>
      <w:isLgl w:val="false"/>
      <w:suff w:val="tab"/>
      <w:lvlText w:val=""/>
      <w:lvlJc w:val="left"/>
      <w:pPr>
        <w:ind w:left="7189" w:hanging="360"/>
      </w:pPr>
      <w:rPr>
        <w:rFonts w:ascii="Wingdings" w:hAnsi="Wingdings"/>
      </w:rPr>
    </w:lvl>
  </w:abstractNum>
  <w:abstractNum w:abstractNumId="16">
    <w:multiLevelType w:val="hybridMultilevel"/>
    <w:lvl w:ilvl="0">
      <w:start w:val="1"/>
      <w:numFmt w:val="bullet"/>
      <w:isLgl w:val="false"/>
      <w:suff w:val="tab"/>
      <w:lvlText w:val=""/>
      <w:lvlJc w:val="left"/>
      <w:pPr>
        <w:ind w:left="928" w:hanging="360"/>
      </w:pPr>
      <w:rPr>
        <w:rFonts w:ascii="Symbol" w:hAnsi="Symbol"/>
        <w:color w:val="000000"/>
      </w:rPr>
    </w:lvl>
    <w:lvl w:ilvl="1">
      <w:start w:val="1"/>
      <w:numFmt w:val="bullet"/>
      <w:isLgl w:val="false"/>
      <w:suff w:val="tab"/>
      <w:lvlText w:val="o"/>
      <w:lvlJc w:val="left"/>
      <w:pPr>
        <w:ind w:left="1648" w:hanging="360"/>
      </w:pPr>
      <w:rPr>
        <w:rFonts w:ascii="Courier New" w:hAnsi="Courier New" w:cs="Courier New"/>
      </w:rPr>
    </w:lvl>
    <w:lvl w:ilvl="2">
      <w:start w:val="1"/>
      <w:numFmt w:val="bullet"/>
      <w:isLgl w:val="false"/>
      <w:suff w:val="tab"/>
      <w:lvlText w:val=""/>
      <w:lvlJc w:val="left"/>
      <w:pPr>
        <w:ind w:left="2368" w:hanging="360"/>
      </w:pPr>
      <w:rPr>
        <w:rFonts w:ascii="Wingdings" w:hAnsi="Wingdings"/>
      </w:rPr>
    </w:lvl>
    <w:lvl w:ilvl="3">
      <w:start w:val="1"/>
      <w:numFmt w:val="bullet"/>
      <w:isLgl w:val="false"/>
      <w:suff w:val="tab"/>
      <w:lvlText w:val=""/>
      <w:lvlJc w:val="left"/>
      <w:pPr>
        <w:ind w:left="3088" w:hanging="360"/>
      </w:pPr>
      <w:rPr>
        <w:rFonts w:ascii="Symbol" w:hAnsi="Symbol"/>
      </w:rPr>
    </w:lvl>
    <w:lvl w:ilvl="4">
      <w:start w:val="1"/>
      <w:numFmt w:val="bullet"/>
      <w:isLgl w:val="false"/>
      <w:suff w:val="tab"/>
      <w:lvlText w:val="o"/>
      <w:lvlJc w:val="left"/>
      <w:pPr>
        <w:ind w:left="3808" w:hanging="360"/>
      </w:pPr>
      <w:rPr>
        <w:rFonts w:ascii="Courier New" w:hAnsi="Courier New" w:cs="Courier New"/>
      </w:rPr>
    </w:lvl>
    <w:lvl w:ilvl="5">
      <w:start w:val="1"/>
      <w:numFmt w:val="bullet"/>
      <w:isLgl w:val="false"/>
      <w:suff w:val="tab"/>
      <w:lvlText w:val=""/>
      <w:lvlJc w:val="left"/>
      <w:pPr>
        <w:ind w:left="4528" w:hanging="360"/>
      </w:pPr>
      <w:rPr>
        <w:rFonts w:ascii="Wingdings" w:hAnsi="Wingdings"/>
      </w:rPr>
    </w:lvl>
    <w:lvl w:ilvl="6">
      <w:start w:val="1"/>
      <w:numFmt w:val="bullet"/>
      <w:isLgl w:val="false"/>
      <w:suff w:val="tab"/>
      <w:lvlText w:val=""/>
      <w:lvlJc w:val="left"/>
      <w:pPr>
        <w:ind w:left="5248" w:hanging="360"/>
      </w:pPr>
      <w:rPr>
        <w:rFonts w:ascii="Symbol" w:hAnsi="Symbol"/>
      </w:rPr>
    </w:lvl>
    <w:lvl w:ilvl="7">
      <w:start w:val="1"/>
      <w:numFmt w:val="bullet"/>
      <w:isLgl w:val="false"/>
      <w:suff w:val="tab"/>
      <w:lvlText w:val="o"/>
      <w:lvlJc w:val="left"/>
      <w:pPr>
        <w:ind w:left="5968" w:hanging="360"/>
      </w:pPr>
      <w:rPr>
        <w:rFonts w:ascii="Courier New" w:hAnsi="Courier New" w:cs="Courier New"/>
      </w:rPr>
    </w:lvl>
    <w:lvl w:ilvl="8">
      <w:start w:val="1"/>
      <w:numFmt w:val="bullet"/>
      <w:isLgl w:val="false"/>
      <w:suff w:val="tab"/>
      <w:lvlText w:val=""/>
      <w:lvlJc w:val="left"/>
      <w:pPr>
        <w:ind w:left="6688" w:hanging="360"/>
      </w:pPr>
      <w:rPr>
        <w:rFonts w:ascii="Wingdings" w:hAnsi="Wingdings"/>
      </w:rPr>
    </w:lvl>
  </w:abstractNum>
  <w:abstractNum w:abstractNumId="17">
    <w:multiLevelType w:val="hybridMultilevel"/>
    <w:lvl w:ilvl="0">
      <w:start w:val="1"/>
      <w:numFmt w:val="bullet"/>
      <w:isLgl w:val="false"/>
      <w:suff w:val="tab"/>
      <w:lvlText w:val=""/>
      <w:lvlJc w:val="left"/>
      <w:pPr>
        <w:ind w:left="720" w:hanging="360"/>
      </w:pPr>
      <w:rPr>
        <w:rFonts w:ascii="Symbol" w:hAnsi="Symbol"/>
      </w:rPr>
    </w:lvl>
    <w:lvl w:ilvl="1">
      <w:start w:val="1"/>
      <w:numFmt w:val="bullet"/>
      <w:isLgl w:val="false"/>
      <w:suff w:val="tab"/>
      <w:lvlText w:val="o"/>
      <w:lvlJc w:val="left"/>
      <w:pPr>
        <w:ind w:left="1440" w:hanging="360"/>
      </w:pPr>
      <w:rPr>
        <w:rFonts w:ascii="Courier New" w:hAnsi="Courier New" w:cs="Courier New"/>
      </w:rPr>
    </w:lvl>
    <w:lvl w:ilvl="2">
      <w:start w:val="1"/>
      <w:numFmt w:val="bullet"/>
      <w:isLgl w:val="false"/>
      <w:suff w:val="tab"/>
      <w:lvlText w:val=""/>
      <w:lvlJc w:val="left"/>
      <w:pPr>
        <w:ind w:left="2160" w:hanging="360"/>
      </w:pPr>
      <w:rPr>
        <w:rFonts w:ascii="Wingdings" w:hAnsi="Wingdings"/>
      </w:rPr>
    </w:lvl>
    <w:lvl w:ilvl="3">
      <w:start w:val="1"/>
      <w:numFmt w:val="bullet"/>
      <w:isLgl w:val="false"/>
      <w:suff w:val="tab"/>
      <w:lvlText w:val=""/>
      <w:lvlJc w:val="left"/>
      <w:pPr>
        <w:ind w:left="2880" w:hanging="360"/>
      </w:pPr>
      <w:rPr>
        <w:rFonts w:ascii="Symbol" w:hAnsi="Symbol"/>
      </w:rPr>
    </w:lvl>
    <w:lvl w:ilvl="4">
      <w:start w:val="1"/>
      <w:numFmt w:val="bullet"/>
      <w:isLgl w:val="false"/>
      <w:suff w:val="tab"/>
      <w:lvlText w:val="o"/>
      <w:lvlJc w:val="left"/>
      <w:pPr>
        <w:ind w:left="3600" w:hanging="360"/>
      </w:pPr>
      <w:rPr>
        <w:rFonts w:ascii="Courier New" w:hAnsi="Courier New" w:cs="Courier New"/>
      </w:rPr>
    </w:lvl>
    <w:lvl w:ilvl="5">
      <w:start w:val="1"/>
      <w:numFmt w:val="bullet"/>
      <w:isLgl w:val="false"/>
      <w:suff w:val="tab"/>
      <w:lvlText w:val=""/>
      <w:lvlJc w:val="left"/>
      <w:pPr>
        <w:ind w:left="4320" w:hanging="360"/>
      </w:pPr>
      <w:rPr>
        <w:rFonts w:ascii="Wingdings" w:hAnsi="Wingdings"/>
      </w:rPr>
    </w:lvl>
    <w:lvl w:ilvl="6">
      <w:start w:val="1"/>
      <w:numFmt w:val="bullet"/>
      <w:isLgl w:val="false"/>
      <w:suff w:val="tab"/>
      <w:lvlText w:val=""/>
      <w:lvlJc w:val="left"/>
      <w:pPr>
        <w:ind w:left="5040" w:hanging="360"/>
      </w:pPr>
      <w:rPr>
        <w:rFonts w:ascii="Symbol" w:hAnsi="Symbol"/>
      </w:rPr>
    </w:lvl>
    <w:lvl w:ilvl="7">
      <w:start w:val="1"/>
      <w:numFmt w:val="bullet"/>
      <w:isLgl w:val="false"/>
      <w:suff w:val="tab"/>
      <w:lvlText w:val="o"/>
      <w:lvlJc w:val="left"/>
      <w:pPr>
        <w:ind w:left="5760" w:hanging="360"/>
      </w:pPr>
      <w:rPr>
        <w:rFonts w:ascii="Courier New" w:hAnsi="Courier New" w:cs="Courier New"/>
      </w:rPr>
    </w:lvl>
    <w:lvl w:ilvl="8">
      <w:start w:val="1"/>
      <w:numFmt w:val="bullet"/>
      <w:isLgl w:val="false"/>
      <w:suff w:val="tab"/>
      <w:lvlText w:val=""/>
      <w:lvlJc w:val="left"/>
      <w:pPr>
        <w:ind w:left="6480" w:hanging="360"/>
      </w:pPr>
      <w:rPr>
        <w:rFonts w:ascii="Wingdings" w:hAnsi="Wingdings"/>
      </w:rPr>
    </w:lvl>
  </w:abstractNum>
  <w:abstractNum w:abstractNumId="18">
    <w:multiLevelType w:val="hybridMultilevel"/>
    <w:lvl w:ilvl="0">
      <w:start w:val="1"/>
      <w:numFmt w:val="bullet"/>
      <w:isLgl w:val="false"/>
      <w:suff w:val="tab"/>
      <w:lvlText w:val=""/>
      <w:lvlJc w:val="left"/>
      <w:pPr>
        <w:ind w:left="1428" w:hanging="360"/>
      </w:pPr>
      <w:rPr>
        <w:rFonts w:ascii="Symbol" w:hAnsi="Symbol"/>
      </w:rPr>
    </w:lvl>
    <w:lvl w:ilvl="1">
      <w:start w:val="1"/>
      <w:numFmt w:val="bullet"/>
      <w:isLgl w:val="false"/>
      <w:suff w:val="tab"/>
      <w:lvlText w:val="o"/>
      <w:lvlJc w:val="left"/>
      <w:pPr>
        <w:ind w:left="2148" w:hanging="360"/>
      </w:pPr>
      <w:rPr>
        <w:rFonts w:ascii="Courier New" w:hAnsi="Courier New" w:cs="Courier New"/>
      </w:rPr>
    </w:lvl>
    <w:lvl w:ilvl="2">
      <w:start w:val="1"/>
      <w:numFmt w:val="bullet"/>
      <w:isLgl w:val="false"/>
      <w:suff w:val="tab"/>
      <w:lvlText w:val=""/>
      <w:lvlJc w:val="left"/>
      <w:pPr>
        <w:ind w:left="2868" w:hanging="360"/>
      </w:pPr>
      <w:rPr>
        <w:rFonts w:ascii="Wingdings" w:hAnsi="Wingdings"/>
      </w:rPr>
    </w:lvl>
    <w:lvl w:ilvl="3">
      <w:start w:val="1"/>
      <w:numFmt w:val="bullet"/>
      <w:isLgl w:val="false"/>
      <w:suff w:val="tab"/>
      <w:lvlText w:val=""/>
      <w:lvlJc w:val="left"/>
      <w:pPr>
        <w:ind w:left="3588" w:hanging="360"/>
      </w:pPr>
      <w:rPr>
        <w:rFonts w:ascii="Symbol" w:hAnsi="Symbol"/>
      </w:rPr>
    </w:lvl>
    <w:lvl w:ilvl="4">
      <w:start w:val="1"/>
      <w:numFmt w:val="bullet"/>
      <w:isLgl w:val="false"/>
      <w:suff w:val="tab"/>
      <w:lvlText w:val="o"/>
      <w:lvlJc w:val="left"/>
      <w:pPr>
        <w:ind w:left="4308" w:hanging="360"/>
      </w:pPr>
      <w:rPr>
        <w:rFonts w:ascii="Courier New" w:hAnsi="Courier New" w:cs="Courier New"/>
      </w:rPr>
    </w:lvl>
    <w:lvl w:ilvl="5">
      <w:start w:val="1"/>
      <w:numFmt w:val="bullet"/>
      <w:isLgl w:val="false"/>
      <w:suff w:val="tab"/>
      <w:lvlText w:val=""/>
      <w:lvlJc w:val="left"/>
      <w:pPr>
        <w:ind w:left="5028" w:hanging="360"/>
      </w:pPr>
      <w:rPr>
        <w:rFonts w:ascii="Wingdings" w:hAnsi="Wingdings"/>
      </w:rPr>
    </w:lvl>
    <w:lvl w:ilvl="6">
      <w:start w:val="1"/>
      <w:numFmt w:val="bullet"/>
      <w:isLgl w:val="false"/>
      <w:suff w:val="tab"/>
      <w:lvlText w:val=""/>
      <w:lvlJc w:val="left"/>
      <w:pPr>
        <w:ind w:left="5748" w:hanging="360"/>
      </w:pPr>
      <w:rPr>
        <w:rFonts w:ascii="Symbol" w:hAnsi="Symbol"/>
      </w:rPr>
    </w:lvl>
    <w:lvl w:ilvl="7">
      <w:start w:val="1"/>
      <w:numFmt w:val="bullet"/>
      <w:isLgl w:val="false"/>
      <w:suff w:val="tab"/>
      <w:lvlText w:val="o"/>
      <w:lvlJc w:val="left"/>
      <w:pPr>
        <w:ind w:left="6468" w:hanging="360"/>
      </w:pPr>
      <w:rPr>
        <w:rFonts w:ascii="Courier New" w:hAnsi="Courier New" w:cs="Courier New"/>
      </w:rPr>
    </w:lvl>
    <w:lvl w:ilvl="8">
      <w:start w:val="1"/>
      <w:numFmt w:val="bullet"/>
      <w:isLgl w:val="false"/>
      <w:suff w:val="tab"/>
      <w:lvlText w:val=""/>
      <w:lvlJc w:val="left"/>
      <w:pPr>
        <w:ind w:left="7188" w:hanging="360"/>
      </w:pPr>
      <w:rPr>
        <w:rFonts w:ascii="Wingdings" w:hAnsi="Wingdings"/>
      </w:rPr>
    </w:lvl>
  </w:abstractNum>
  <w:abstractNum w:abstractNumId="19">
    <w:multiLevelType w:val="hybridMultilevel"/>
    <w:lvl w:ilvl="0">
      <w:start w:val="1"/>
      <w:numFmt w:val="bullet"/>
      <w:isLgl w:val="false"/>
      <w:suff w:val="tab"/>
      <w:lvlText w:val=""/>
      <w:lvlJc w:val="left"/>
      <w:pPr>
        <w:ind w:left="1429" w:hanging="360"/>
      </w:pPr>
      <w:rPr>
        <w:rFonts w:ascii="Symbol" w:hAnsi="Symbol"/>
        <w:color w:val="000000"/>
      </w:rPr>
    </w:lvl>
    <w:lvl w:ilvl="1">
      <w:start w:val="1"/>
      <w:numFmt w:val="bullet"/>
      <w:isLgl w:val="false"/>
      <w:suff w:val="tab"/>
      <w:lvlText w:val="o"/>
      <w:lvlJc w:val="left"/>
      <w:pPr>
        <w:ind w:left="2149" w:hanging="360"/>
      </w:pPr>
      <w:rPr>
        <w:rFonts w:ascii="Courier New" w:hAnsi="Courier New" w:cs="Courier New"/>
      </w:rPr>
    </w:lvl>
    <w:lvl w:ilvl="2">
      <w:start w:val="1"/>
      <w:numFmt w:val="bullet"/>
      <w:isLgl w:val="false"/>
      <w:suff w:val="tab"/>
      <w:lvlText w:val=""/>
      <w:lvlJc w:val="left"/>
      <w:pPr>
        <w:ind w:left="2869" w:hanging="360"/>
      </w:pPr>
      <w:rPr>
        <w:rFonts w:ascii="Wingdings" w:hAnsi="Wingdings"/>
      </w:rPr>
    </w:lvl>
    <w:lvl w:ilvl="3">
      <w:start w:val="1"/>
      <w:numFmt w:val="bullet"/>
      <w:isLgl w:val="false"/>
      <w:suff w:val="tab"/>
      <w:lvlText w:val=""/>
      <w:lvlJc w:val="left"/>
      <w:pPr>
        <w:ind w:left="3589" w:hanging="360"/>
      </w:pPr>
      <w:rPr>
        <w:rFonts w:ascii="Symbol" w:hAnsi="Symbol"/>
      </w:rPr>
    </w:lvl>
    <w:lvl w:ilvl="4">
      <w:start w:val="1"/>
      <w:numFmt w:val="bullet"/>
      <w:isLgl w:val="false"/>
      <w:suff w:val="tab"/>
      <w:lvlText w:val="o"/>
      <w:lvlJc w:val="left"/>
      <w:pPr>
        <w:ind w:left="4309" w:hanging="360"/>
      </w:pPr>
      <w:rPr>
        <w:rFonts w:ascii="Courier New" w:hAnsi="Courier New" w:cs="Courier New"/>
      </w:rPr>
    </w:lvl>
    <w:lvl w:ilvl="5">
      <w:start w:val="1"/>
      <w:numFmt w:val="bullet"/>
      <w:isLgl w:val="false"/>
      <w:suff w:val="tab"/>
      <w:lvlText w:val=""/>
      <w:lvlJc w:val="left"/>
      <w:pPr>
        <w:ind w:left="5029" w:hanging="360"/>
      </w:pPr>
      <w:rPr>
        <w:rFonts w:ascii="Wingdings" w:hAnsi="Wingdings"/>
      </w:rPr>
    </w:lvl>
    <w:lvl w:ilvl="6">
      <w:start w:val="1"/>
      <w:numFmt w:val="bullet"/>
      <w:isLgl w:val="false"/>
      <w:suff w:val="tab"/>
      <w:lvlText w:val=""/>
      <w:lvlJc w:val="left"/>
      <w:pPr>
        <w:ind w:left="5749" w:hanging="360"/>
      </w:pPr>
      <w:rPr>
        <w:rFonts w:ascii="Symbol" w:hAnsi="Symbol"/>
      </w:rPr>
    </w:lvl>
    <w:lvl w:ilvl="7">
      <w:start w:val="1"/>
      <w:numFmt w:val="bullet"/>
      <w:isLgl w:val="false"/>
      <w:suff w:val="tab"/>
      <w:lvlText w:val="o"/>
      <w:lvlJc w:val="left"/>
      <w:pPr>
        <w:ind w:left="6469" w:hanging="360"/>
      </w:pPr>
      <w:rPr>
        <w:rFonts w:ascii="Courier New" w:hAnsi="Courier New" w:cs="Courier New"/>
      </w:rPr>
    </w:lvl>
    <w:lvl w:ilvl="8">
      <w:start w:val="1"/>
      <w:numFmt w:val="bullet"/>
      <w:isLgl w:val="false"/>
      <w:suff w:val="tab"/>
      <w:lvlText w:val=""/>
      <w:lvlJc w:val="left"/>
      <w:pPr>
        <w:ind w:left="7189" w:hanging="360"/>
      </w:pPr>
      <w:rPr>
        <w:rFonts w:ascii="Wingdings" w:hAnsi="Wingdings"/>
      </w:rPr>
    </w:lvl>
  </w:abstractNum>
  <w:abstractNum w:abstractNumId="20">
    <w:multiLevelType w:val="hybridMultilevel"/>
    <w:lvl w:ilvl="0">
      <w:start w:val="1"/>
      <w:numFmt w:val="bullet"/>
      <w:isLgl w:val="false"/>
      <w:suff w:val="tab"/>
      <w:lvlText w:val=""/>
      <w:lvlJc w:val="left"/>
      <w:pPr>
        <w:ind w:left="720" w:hanging="360"/>
      </w:pPr>
      <w:rPr>
        <w:rFonts w:ascii="Symbol" w:hAnsi="Symbol"/>
      </w:rPr>
    </w:lvl>
    <w:lvl w:ilvl="1">
      <w:start w:val="1"/>
      <w:numFmt w:val="bullet"/>
      <w:isLgl w:val="false"/>
      <w:suff w:val="tab"/>
      <w:lvlText w:val="o"/>
      <w:lvlJc w:val="left"/>
      <w:pPr>
        <w:ind w:left="1440" w:hanging="360"/>
      </w:pPr>
      <w:rPr>
        <w:rFonts w:ascii="Courier New" w:hAnsi="Courier New" w:cs="Courier New"/>
      </w:rPr>
    </w:lvl>
    <w:lvl w:ilvl="2">
      <w:start w:val="1"/>
      <w:numFmt w:val="bullet"/>
      <w:isLgl w:val="false"/>
      <w:suff w:val="tab"/>
      <w:lvlText w:val=""/>
      <w:lvlJc w:val="left"/>
      <w:pPr>
        <w:ind w:left="2160" w:hanging="360"/>
      </w:pPr>
      <w:rPr>
        <w:rFonts w:ascii="Wingdings" w:hAnsi="Wingdings"/>
      </w:rPr>
    </w:lvl>
    <w:lvl w:ilvl="3">
      <w:start w:val="1"/>
      <w:numFmt w:val="bullet"/>
      <w:isLgl w:val="false"/>
      <w:suff w:val="tab"/>
      <w:lvlText w:val=""/>
      <w:lvlJc w:val="left"/>
      <w:pPr>
        <w:ind w:left="2880" w:hanging="360"/>
      </w:pPr>
      <w:rPr>
        <w:rFonts w:ascii="Symbol" w:hAnsi="Symbol"/>
      </w:rPr>
    </w:lvl>
    <w:lvl w:ilvl="4">
      <w:start w:val="1"/>
      <w:numFmt w:val="bullet"/>
      <w:isLgl w:val="false"/>
      <w:suff w:val="tab"/>
      <w:lvlText w:val="o"/>
      <w:lvlJc w:val="left"/>
      <w:pPr>
        <w:ind w:left="3600" w:hanging="360"/>
      </w:pPr>
      <w:rPr>
        <w:rFonts w:ascii="Courier New" w:hAnsi="Courier New" w:cs="Courier New"/>
      </w:rPr>
    </w:lvl>
    <w:lvl w:ilvl="5">
      <w:start w:val="1"/>
      <w:numFmt w:val="bullet"/>
      <w:isLgl w:val="false"/>
      <w:suff w:val="tab"/>
      <w:lvlText w:val=""/>
      <w:lvlJc w:val="left"/>
      <w:pPr>
        <w:ind w:left="4320" w:hanging="360"/>
      </w:pPr>
      <w:rPr>
        <w:rFonts w:ascii="Wingdings" w:hAnsi="Wingdings"/>
      </w:rPr>
    </w:lvl>
    <w:lvl w:ilvl="6">
      <w:start w:val="1"/>
      <w:numFmt w:val="bullet"/>
      <w:isLgl w:val="false"/>
      <w:suff w:val="tab"/>
      <w:lvlText w:val=""/>
      <w:lvlJc w:val="left"/>
      <w:pPr>
        <w:ind w:left="5040" w:hanging="360"/>
      </w:pPr>
      <w:rPr>
        <w:rFonts w:ascii="Symbol" w:hAnsi="Symbol"/>
      </w:rPr>
    </w:lvl>
    <w:lvl w:ilvl="7">
      <w:start w:val="1"/>
      <w:numFmt w:val="bullet"/>
      <w:isLgl w:val="false"/>
      <w:suff w:val="tab"/>
      <w:lvlText w:val="o"/>
      <w:lvlJc w:val="left"/>
      <w:pPr>
        <w:ind w:left="5760" w:hanging="360"/>
      </w:pPr>
      <w:rPr>
        <w:rFonts w:ascii="Courier New" w:hAnsi="Courier New" w:cs="Courier New"/>
      </w:rPr>
    </w:lvl>
    <w:lvl w:ilvl="8">
      <w:start w:val="1"/>
      <w:numFmt w:val="bullet"/>
      <w:isLgl w:val="false"/>
      <w:suff w:val="tab"/>
      <w:lvlText w:val=""/>
      <w:lvlJc w:val="left"/>
      <w:pPr>
        <w:ind w:left="6480" w:hanging="360"/>
      </w:pPr>
      <w:rPr>
        <w:rFonts w:ascii="Wingdings" w:hAnsi="Wingdings"/>
      </w:rPr>
    </w:lvl>
  </w:abstractNum>
  <w:abstractNum w:abstractNumId="21">
    <w:multiLevelType w:val="hybridMultilevel"/>
    <w:lvl w:ilvl="0">
      <w:start w:val="1"/>
      <w:numFmt w:val="bullet"/>
      <w:isLgl w:val="false"/>
      <w:suff w:val="tab"/>
      <w:lvlText w:val=""/>
      <w:lvlJc w:val="left"/>
      <w:pPr>
        <w:ind w:left="720" w:hanging="360"/>
      </w:pPr>
      <w:rPr>
        <w:rFonts w:ascii="Symbol" w:hAnsi="Symbol"/>
      </w:rPr>
    </w:lvl>
    <w:lvl w:ilvl="1">
      <w:start w:val="1"/>
      <w:numFmt w:val="bullet"/>
      <w:isLgl w:val="false"/>
      <w:suff w:val="tab"/>
      <w:lvlText w:val="o"/>
      <w:lvlJc w:val="left"/>
      <w:pPr>
        <w:ind w:left="1440" w:hanging="360"/>
      </w:pPr>
      <w:rPr>
        <w:rFonts w:ascii="Courier New" w:hAnsi="Courier New" w:cs="Courier New"/>
      </w:rPr>
    </w:lvl>
    <w:lvl w:ilvl="2">
      <w:start w:val="1"/>
      <w:numFmt w:val="bullet"/>
      <w:isLgl w:val="false"/>
      <w:suff w:val="tab"/>
      <w:lvlText w:val=""/>
      <w:lvlJc w:val="left"/>
      <w:pPr>
        <w:ind w:left="2160" w:hanging="360"/>
      </w:pPr>
      <w:rPr>
        <w:rFonts w:ascii="Wingdings" w:hAnsi="Wingdings"/>
      </w:rPr>
    </w:lvl>
    <w:lvl w:ilvl="3">
      <w:start w:val="1"/>
      <w:numFmt w:val="bullet"/>
      <w:isLgl w:val="false"/>
      <w:suff w:val="tab"/>
      <w:lvlText w:val=""/>
      <w:lvlJc w:val="left"/>
      <w:pPr>
        <w:ind w:left="2880" w:hanging="360"/>
      </w:pPr>
      <w:rPr>
        <w:rFonts w:ascii="Symbol" w:hAnsi="Symbol"/>
      </w:rPr>
    </w:lvl>
    <w:lvl w:ilvl="4">
      <w:start w:val="1"/>
      <w:numFmt w:val="bullet"/>
      <w:isLgl w:val="false"/>
      <w:suff w:val="tab"/>
      <w:lvlText w:val="o"/>
      <w:lvlJc w:val="left"/>
      <w:pPr>
        <w:ind w:left="3600" w:hanging="360"/>
      </w:pPr>
      <w:rPr>
        <w:rFonts w:ascii="Courier New" w:hAnsi="Courier New" w:cs="Courier New"/>
      </w:rPr>
    </w:lvl>
    <w:lvl w:ilvl="5">
      <w:start w:val="1"/>
      <w:numFmt w:val="bullet"/>
      <w:isLgl w:val="false"/>
      <w:suff w:val="tab"/>
      <w:lvlText w:val=""/>
      <w:lvlJc w:val="left"/>
      <w:pPr>
        <w:ind w:left="4320" w:hanging="360"/>
      </w:pPr>
      <w:rPr>
        <w:rFonts w:ascii="Wingdings" w:hAnsi="Wingdings"/>
      </w:rPr>
    </w:lvl>
    <w:lvl w:ilvl="6">
      <w:start w:val="1"/>
      <w:numFmt w:val="bullet"/>
      <w:isLgl w:val="false"/>
      <w:suff w:val="tab"/>
      <w:lvlText w:val=""/>
      <w:lvlJc w:val="left"/>
      <w:pPr>
        <w:ind w:left="5040" w:hanging="360"/>
      </w:pPr>
      <w:rPr>
        <w:rFonts w:ascii="Symbol" w:hAnsi="Symbol"/>
      </w:rPr>
    </w:lvl>
    <w:lvl w:ilvl="7">
      <w:start w:val="1"/>
      <w:numFmt w:val="bullet"/>
      <w:isLgl w:val="false"/>
      <w:suff w:val="tab"/>
      <w:lvlText w:val="o"/>
      <w:lvlJc w:val="left"/>
      <w:pPr>
        <w:ind w:left="5760" w:hanging="360"/>
      </w:pPr>
      <w:rPr>
        <w:rFonts w:ascii="Courier New" w:hAnsi="Courier New" w:cs="Courier New"/>
      </w:rPr>
    </w:lvl>
    <w:lvl w:ilvl="8">
      <w:start w:val="1"/>
      <w:numFmt w:val="bullet"/>
      <w:isLgl w:val="false"/>
      <w:suff w:val="tab"/>
      <w:lvlText w:val=""/>
      <w:lvlJc w:val="left"/>
      <w:pPr>
        <w:ind w:left="6480" w:hanging="360"/>
      </w:pPr>
      <w:rPr>
        <w:rFonts w:ascii="Wingdings" w:hAnsi="Wingdings"/>
      </w:rPr>
    </w:lvl>
  </w:abstractNum>
  <w:abstractNum w:abstractNumId="22">
    <w:multiLevelType w:val="hybridMultilevel"/>
    <w:lvl w:ilvl="0">
      <w:start w:val="1"/>
      <w:numFmt w:val="bullet"/>
      <w:isLgl w:val="false"/>
      <w:suff w:val="tab"/>
      <w:lvlText w:val=""/>
      <w:lvlJc w:val="left"/>
      <w:pPr>
        <w:ind w:left="1429" w:hanging="360"/>
      </w:pPr>
      <w:rPr>
        <w:rFonts w:ascii="Symbol" w:hAnsi="Symbol"/>
      </w:rPr>
    </w:lvl>
    <w:lvl w:ilvl="1">
      <w:start w:val="1"/>
      <w:numFmt w:val="bullet"/>
      <w:isLgl w:val="false"/>
      <w:suff w:val="tab"/>
      <w:lvlText w:val="o"/>
      <w:lvlJc w:val="left"/>
      <w:pPr>
        <w:ind w:left="2149" w:hanging="360"/>
      </w:pPr>
      <w:rPr>
        <w:rFonts w:ascii="Courier New" w:hAnsi="Courier New" w:cs="Courier New"/>
      </w:rPr>
    </w:lvl>
    <w:lvl w:ilvl="2">
      <w:start w:val="1"/>
      <w:numFmt w:val="bullet"/>
      <w:isLgl w:val="false"/>
      <w:suff w:val="tab"/>
      <w:lvlText w:val=""/>
      <w:lvlJc w:val="left"/>
      <w:pPr>
        <w:ind w:left="2869" w:hanging="360"/>
      </w:pPr>
      <w:rPr>
        <w:rFonts w:ascii="Wingdings" w:hAnsi="Wingdings"/>
      </w:rPr>
    </w:lvl>
    <w:lvl w:ilvl="3">
      <w:start w:val="1"/>
      <w:numFmt w:val="bullet"/>
      <w:isLgl w:val="false"/>
      <w:suff w:val="tab"/>
      <w:lvlText w:val=""/>
      <w:lvlJc w:val="left"/>
      <w:pPr>
        <w:ind w:left="3589" w:hanging="360"/>
      </w:pPr>
      <w:rPr>
        <w:rFonts w:ascii="Symbol" w:hAnsi="Symbol"/>
      </w:rPr>
    </w:lvl>
    <w:lvl w:ilvl="4">
      <w:start w:val="1"/>
      <w:numFmt w:val="bullet"/>
      <w:isLgl w:val="false"/>
      <w:suff w:val="tab"/>
      <w:lvlText w:val="o"/>
      <w:lvlJc w:val="left"/>
      <w:pPr>
        <w:ind w:left="4309" w:hanging="360"/>
      </w:pPr>
      <w:rPr>
        <w:rFonts w:ascii="Courier New" w:hAnsi="Courier New" w:cs="Courier New"/>
      </w:rPr>
    </w:lvl>
    <w:lvl w:ilvl="5">
      <w:start w:val="1"/>
      <w:numFmt w:val="bullet"/>
      <w:isLgl w:val="false"/>
      <w:suff w:val="tab"/>
      <w:lvlText w:val=""/>
      <w:lvlJc w:val="left"/>
      <w:pPr>
        <w:ind w:left="5029" w:hanging="360"/>
      </w:pPr>
      <w:rPr>
        <w:rFonts w:ascii="Wingdings" w:hAnsi="Wingdings"/>
      </w:rPr>
    </w:lvl>
    <w:lvl w:ilvl="6">
      <w:start w:val="1"/>
      <w:numFmt w:val="bullet"/>
      <w:isLgl w:val="false"/>
      <w:suff w:val="tab"/>
      <w:lvlText w:val=""/>
      <w:lvlJc w:val="left"/>
      <w:pPr>
        <w:ind w:left="5749" w:hanging="360"/>
      </w:pPr>
      <w:rPr>
        <w:rFonts w:ascii="Symbol" w:hAnsi="Symbol"/>
      </w:rPr>
    </w:lvl>
    <w:lvl w:ilvl="7">
      <w:start w:val="1"/>
      <w:numFmt w:val="bullet"/>
      <w:isLgl w:val="false"/>
      <w:suff w:val="tab"/>
      <w:lvlText w:val="o"/>
      <w:lvlJc w:val="left"/>
      <w:pPr>
        <w:ind w:left="6469" w:hanging="360"/>
      </w:pPr>
      <w:rPr>
        <w:rFonts w:ascii="Courier New" w:hAnsi="Courier New" w:cs="Courier New"/>
      </w:rPr>
    </w:lvl>
    <w:lvl w:ilvl="8">
      <w:start w:val="1"/>
      <w:numFmt w:val="bullet"/>
      <w:isLgl w:val="false"/>
      <w:suff w:val="tab"/>
      <w:lvlText w:val=""/>
      <w:lvlJc w:val="left"/>
      <w:pPr>
        <w:ind w:left="7189" w:hanging="360"/>
      </w:pPr>
      <w:rPr>
        <w:rFonts w:ascii="Wingdings" w:hAnsi="Wingdings"/>
      </w:rPr>
    </w:lvl>
  </w:abstractNum>
  <w:abstractNum w:abstractNumId="23">
    <w:multiLevelType w:val="hybridMultilevel"/>
    <w:lvl w:ilvl="0">
      <w:start w:val="1"/>
      <w:numFmt w:val="bullet"/>
      <w:isLgl w:val="false"/>
      <w:suff w:val="tab"/>
      <w:lvlText w:val=""/>
      <w:lvlJc w:val="left"/>
      <w:pPr>
        <w:ind w:left="1429" w:hanging="360"/>
      </w:pPr>
      <w:rPr>
        <w:rFonts w:ascii="Symbol" w:hAnsi="Symbol"/>
      </w:rPr>
    </w:lvl>
    <w:lvl w:ilvl="1">
      <w:start w:val="1"/>
      <w:numFmt w:val="bullet"/>
      <w:isLgl w:val="false"/>
      <w:suff w:val="tab"/>
      <w:lvlText w:val="o"/>
      <w:lvlJc w:val="left"/>
      <w:pPr>
        <w:ind w:left="2149" w:hanging="360"/>
      </w:pPr>
      <w:rPr>
        <w:rFonts w:ascii="Courier New" w:hAnsi="Courier New" w:cs="Courier New"/>
      </w:rPr>
    </w:lvl>
    <w:lvl w:ilvl="2">
      <w:start w:val="1"/>
      <w:numFmt w:val="bullet"/>
      <w:isLgl w:val="false"/>
      <w:suff w:val="tab"/>
      <w:lvlText w:val=""/>
      <w:lvlJc w:val="left"/>
      <w:pPr>
        <w:ind w:left="2869" w:hanging="360"/>
      </w:pPr>
      <w:rPr>
        <w:rFonts w:ascii="Wingdings" w:hAnsi="Wingdings"/>
      </w:rPr>
    </w:lvl>
    <w:lvl w:ilvl="3">
      <w:start w:val="1"/>
      <w:numFmt w:val="bullet"/>
      <w:isLgl w:val="false"/>
      <w:suff w:val="tab"/>
      <w:lvlText w:val=""/>
      <w:lvlJc w:val="left"/>
      <w:pPr>
        <w:ind w:left="3589" w:hanging="360"/>
      </w:pPr>
      <w:rPr>
        <w:rFonts w:ascii="Symbol" w:hAnsi="Symbol"/>
      </w:rPr>
    </w:lvl>
    <w:lvl w:ilvl="4">
      <w:start w:val="1"/>
      <w:numFmt w:val="bullet"/>
      <w:isLgl w:val="false"/>
      <w:suff w:val="tab"/>
      <w:lvlText w:val="o"/>
      <w:lvlJc w:val="left"/>
      <w:pPr>
        <w:ind w:left="4309" w:hanging="360"/>
      </w:pPr>
      <w:rPr>
        <w:rFonts w:ascii="Courier New" w:hAnsi="Courier New" w:cs="Courier New"/>
      </w:rPr>
    </w:lvl>
    <w:lvl w:ilvl="5">
      <w:start w:val="1"/>
      <w:numFmt w:val="bullet"/>
      <w:isLgl w:val="false"/>
      <w:suff w:val="tab"/>
      <w:lvlText w:val=""/>
      <w:lvlJc w:val="left"/>
      <w:pPr>
        <w:ind w:left="5029" w:hanging="360"/>
      </w:pPr>
      <w:rPr>
        <w:rFonts w:ascii="Wingdings" w:hAnsi="Wingdings"/>
      </w:rPr>
    </w:lvl>
    <w:lvl w:ilvl="6">
      <w:start w:val="1"/>
      <w:numFmt w:val="bullet"/>
      <w:isLgl w:val="false"/>
      <w:suff w:val="tab"/>
      <w:lvlText w:val=""/>
      <w:lvlJc w:val="left"/>
      <w:pPr>
        <w:ind w:left="5749" w:hanging="360"/>
      </w:pPr>
      <w:rPr>
        <w:rFonts w:ascii="Symbol" w:hAnsi="Symbol"/>
      </w:rPr>
    </w:lvl>
    <w:lvl w:ilvl="7">
      <w:start w:val="1"/>
      <w:numFmt w:val="bullet"/>
      <w:isLgl w:val="false"/>
      <w:suff w:val="tab"/>
      <w:lvlText w:val="o"/>
      <w:lvlJc w:val="left"/>
      <w:pPr>
        <w:ind w:left="6469" w:hanging="360"/>
      </w:pPr>
      <w:rPr>
        <w:rFonts w:ascii="Courier New" w:hAnsi="Courier New" w:cs="Courier New"/>
      </w:rPr>
    </w:lvl>
    <w:lvl w:ilvl="8">
      <w:start w:val="1"/>
      <w:numFmt w:val="bullet"/>
      <w:isLgl w:val="false"/>
      <w:suff w:val="tab"/>
      <w:lvlText w:val=""/>
      <w:lvlJc w:val="left"/>
      <w:pPr>
        <w:ind w:left="7189" w:hanging="360"/>
      </w:pPr>
      <w:rPr>
        <w:rFonts w:ascii="Wingdings" w:hAnsi="Wingdings"/>
      </w:rPr>
    </w:lvl>
  </w:abstractNum>
  <w:abstractNum w:abstractNumId="24">
    <w:multiLevelType w:val="hybridMultilevel"/>
    <w:lvl w:ilvl="0">
      <w:start w:val="1"/>
      <w:numFmt w:val="bullet"/>
      <w:isLgl w:val="false"/>
      <w:suff w:val="tab"/>
      <w:lvlText w:val=""/>
      <w:lvlJc w:val="left"/>
      <w:pPr>
        <w:ind w:left="720" w:hanging="360"/>
      </w:pPr>
      <w:rPr>
        <w:rFonts w:ascii="Symbol" w:hAnsi="Symbol"/>
      </w:rPr>
    </w:lvl>
    <w:lvl w:ilvl="1">
      <w:start w:val="1"/>
      <w:numFmt w:val="bullet"/>
      <w:isLgl w:val="false"/>
      <w:suff w:val="tab"/>
      <w:lvlText w:val="o"/>
      <w:lvlJc w:val="left"/>
      <w:pPr>
        <w:ind w:left="1440" w:hanging="360"/>
      </w:pPr>
      <w:rPr>
        <w:rFonts w:ascii="Courier New" w:hAnsi="Courier New" w:cs="Courier New"/>
      </w:rPr>
    </w:lvl>
    <w:lvl w:ilvl="2">
      <w:start w:val="1"/>
      <w:numFmt w:val="bullet"/>
      <w:isLgl w:val="false"/>
      <w:suff w:val="tab"/>
      <w:lvlText w:val=""/>
      <w:lvlJc w:val="left"/>
      <w:pPr>
        <w:ind w:left="2160" w:hanging="360"/>
      </w:pPr>
      <w:rPr>
        <w:rFonts w:ascii="Wingdings" w:hAnsi="Wingdings"/>
      </w:rPr>
    </w:lvl>
    <w:lvl w:ilvl="3">
      <w:start w:val="1"/>
      <w:numFmt w:val="bullet"/>
      <w:isLgl w:val="false"/>
      <w:suff w:val="tab"/>
      <w:lvlText w:val=""/>
      <w:lvlJc w:val="left"/>
      <w:pPr>
        <w:ind w:left="2880" w:hanging="360"/>
      </w:pPr>
      <w:rPr>
        <w:rFonts w:ascii="Symbol" w:hAnsi="Symbol"/>
      </w:rPr>
    </w:lvl>
    <w:lvl w:ilvl="4">
      <w:start w:val="1"/>
      <w:numFmt w:val="bullet"/>
      <w:isLgl w:val="false"/>
      <w:suff w:val="tab"/>
      <w:lvlText w:val="o"/>
      <w:lvlJc w:val="left"/>
      <w:pPr>
        <w:ind w:left="3600" w:hanging="360"/>
      </w:pPr>
      <w:rPr>
        <w:rFonts w:ascii="Courier New" w:hAnsi="Courier New" w:cs="Courier New"/>
      </w:rPr>
    </w:lvl>
    <w:lvl w:ilvl="5">
      <w:start w:val="1"/>
      <w:numFmt w:val="bullet"/>
      <w:isLgl w:val="false"/>
      <w:suff w:val="tab"/>
      <w:lvlText w:val=""/>
      <w:lvlJc w:val="left"/>
      <w:pPr>
        <w:ind w:left="4320" w:hanging="360"/>
      </w:pPr>
      <w:rPr>
        <w:rFonts w:ascii="Wingdings" w:hAnsi="Wingdings"/>
      </w:rPr>
    </w:lvl>
    <w:lvl w:ilvl="6">
      <w:start w:val="1"/>
      <w:numFmt w:val="bullet"/>
      <w:isLgl w:val="false"/>
      <w:suff w:val="tab"/>
      <w:lvlText w:val=""/>
      <w:lvlJc w:val="left"/>
      <w:pPr>
        <w:ind w:left="5040" w:hanging="360"/>
      </w:pPr>
      <w:rPr>
        <w:rFonts w:ascii="Symbol" w:hAnsi="Symbol"/>
      </w:rPr>
    </w:lvl>
    <w:lvl w:ilvl="7">
      <w:start w:val="1"/>
      <w:numFmt w:val="bullet"/>
      <w:isLgl w:val="false"/>
      <w:suff w:val="tab"/>
      <w:lvlText w:val="o"/>
      <w:lvlJc w:val="left"/>
      <w:pPr>
        <w:ind w:left="5760" w:hanging="360"/>
      </w:pPr>
      <w:rPr>
        <w:rFonts w:ascii="Courier New" w:hAnsi="Courier New" w:cs="Courier New"/>
      </w:rPr>
    </w:lvl>
    <w:lvl w:ilvl="8">
      <w:start w:val="1"/>
      <w:numFmt w:val="bullet"/>
      <w:isLgl w:val="false"/>
      <w:suff w:val="tab"/>
      <w:lvlText w:val=""/>
      <w:lvlJc w:val="left"/>
      <w:pPr>
        <w:ind w:left="6480" w:hanging="360"/>
      </w:pPr>
      <w:rPr>
        <w:rFonts w:ascii="Wingdings" w:hAnsi="Wingdings"/>
      </w:rPr>
    </w:lvl>
  </w:abstractNum>
  <w:abstractNum w:abstractNumId="25">
    <w:multiLevelType w:val="hybridMultilevel"/>
    <w:lvl w:ilvl="0">
      <w:start w:val="1"/>
      <w:numFmt w:val="bullet"/>
      <w:isLgl w:val="false"/>
      <w:suff w:val="tab"/>
      <w:lvlText w:val=""/>
      <w:lvlJc w:val="left"/>
      <w:pPr>
        <w:ind w:left="1429" w:hanging="360"/>
      </w:pPr>
      <w:rPr>
        <w:rFonts w:ascii="Symbol" w:hAnsi="Symbol"/>
      </w:rPr>
    </w:lvl>
    <w:lvl w:ilvl="1">
      <w:start w:val="1"/>
      <w:numFmt w:val="bullet"/>
      <w:isLgl w:val="false"/>
      <w:suff w:val="tab"/>
      <w:lvlText w:val="o"/>
      <w:lvlJc w:val="left"/>
      <w:pPr>
        <w:ind w:left="2149" w:hanging="360"/>
      </w:pPr>
      <w:rPr>
        <w:rFonts w:ascii="Courier New" w:hAnsi="Courier New" w:cs="Courier New"/>
      </w:rPr>
    </w:lvl>
    <w:lvl w:ilvl="2">
      <w:start w:val="1"/>
      <w:numFmt w:val="bullet"/>
      <w:isLgl w:val="false"/>
      <w:suff w:val="tab"/>
      <w:lvlText w:val=""/>
      <w:lvlJc w:val="left"/>
      <w:pPr>
        <w:ind w:left="2869" w:hanging="360"/>
      </w:pPr>
      <w:rPr>
        <w:rFonts w:ascii="Wingdings" w:hAnsi="Wingdings"/>
      </w:rPr>
    </w:lvl>
    <w:lvl w:ilvl="3">
      <w:start w:val="1"/>
      <w:numFmt w:val="bullet"/>
      <w:isLgl w:val="false"/>
      <w:suff w:val="tab"/>
      <w:lvlText w:val=""/>
      <w:lvlJc w:val="left"/>
      <w:pPr>
        <w:ind w:left="3589" w:hanging="360"/>
      </w:pPr>
      <w:rPr>
        <w:rFonts w:ascii="Symbol" w:hAnsi="Symbol"/>
      </w:rPr>
    </w:lvl>
    <w:lvl w:ilvl="4">
      <w:start w:val="1"/>
      <w:numFmt w:val="bullet"/>
      <w:isLgl w:val="false"/>
      <w:suff w:val="tab"/>
      <w:lvlText w:val="o"/>
      <w:lvlJc w:val="left"/>
      <w:pPr>
        <w:ind w:left="4309" w:hanging="360"/>
      </w:pPr>
      <w:rPr>
        <w:rFonts w:ascii="Courier New" w:hAnsi="Courier New" w:cs="Courier New"/>
      </w:rPr>
    </w:lvl>
    <w:lvl w:ilvl="5">
      <w:start w:val="1"/>
      <w:numFmt w:val="bullet"/>
      <w:isLgl w:val="false"/>
      <w:suff w:val="tab"/>
      <w:lvlText w:val=""/>
      <w:lvlJc w:val="left"/>
      <w:pPr>
        <w:ind w:left="5029" w:hanging="360"/>
      </w:pPr>
      <w:rPr>
        <w:rFonts w:ascii="Wingdings" w:hAnsi="Wingdings"/>
      </w:rPr>
    </w:lvl>
    <w:lvl w:ilvl="6">
      <w:start w:val="1"/>
      <w:numFmt w:val="bullet"/>
      <w:isLgl w:val="false"/>
      <w:suff w:val="tab"/>
      <w:lvlText w:val=""/>
      <w:lvlJc w:val="left"/>
      <w:pPr>
        <w:ind w:left="5749" w:hanging="360"/>
      </w:pPr>
      <w:rPr>
        <w:rFonts w:ascii="Symbol" w:hAnsi="Symbol"/>
      </w:rPr>
    </w:lvl>
    <w:lvl w:ilvl="7">
      <w:start w:val="1"/>
      <w:numFmt w:val="bullet"/>
      <w:isLgl w:val="false"/>
      <w:suff w:val="tab"/>
      <w:lvlText w:val="o"/>
      <w:lvlJc w:val="left"/>
      <w:pPr>
        <w:ind w:left="6469" w:hanging="360"/>
      </w:pPr>
      <w:rPr>
        <w:rFonts w:ascii="Courier New" w:hAnsi="Courier New" w:cs="Courier New"/>
      </w:rPr>
    </w:lvl>
    <w:lvl w:ilvl="8">
      <w:start w:val="1"/>
      <w:numFmt w:val="bullet"/>
      <w:isLgl w:val="false"/>
      <w:suff w:val="tab"/>
      <w:lvlText w:val=""/>
      <w:lvlJc w:val="left"/>
      <w:pPr>
        <w:ind w:left="7189" w:hanging="360"/>
      </w:pPr>
      <w:rPr>
        <w:rFonts w:ascii="Wingdings" w:hAnsi="Wingdings"/>
      </w:rPr>
    </w:lvl>
  </w:abstractNum>
  <w:abstractNum w:abstractNumId="26">
    <w:multiLevelType w:val="hybridMultilevel"/>
    <w:lvl w:ilvl="0">
      <w:start w:val="1"/>
      <w:numFmt w:val="bullet"/>
      <w:isLgl w:val="false"/>
      <w:suff w:val="tab"/>
      <w:lvlText w:val=""/>
      <w:lvlJc w:val="left"/>
      <w:pPr>
        <w:ind w:left="1481" w:hanging="360"/>
      </w:pPr>
      <w:rPr>
        <w:rFonts w:ascii="Symbol" w:hAnsi="Symbol"/>
        <w:color w:val="000000"/>
      </w:rPr>
    </w:lvl>
    <w:lvl w:ilvl="1">
      <w:start w:val="1"/>
      <w:numFmt w:val="bullet"/>
      <w:isLgl w:val="false"/>
      <w:suff w:val="tab"/>
      <w:lvlText w:val="o"/>
      <w:lvlJc w:val="left"/>
      <w:pPr>
        <w:ind w:left="2201" w:hanging="360"/>
      </w:pPr>
      <w:rPr>
        <w:rFonts w:ascii="Courier New" w:hAnsi="Courier New" w:cs="Courier New"/>
      </w:rPr>
    </w:lvl>
    <w:lvl w:ilvl="2">
      <w:start w:val="1"/>
      <w:numFmt w:val="bullet"/>
      <w:isLgl w:val="false"/>
      <w:suff w:val="tab"/>
      <w:lvlText w:val=""/>
      <w:lvlJc w:val="left"/>
      <w:pPr>
        <w:ind w:left="2921" w:hanging="360"/>
      </w:pPr>
      <w:rPr>
        <w:rFonts w:ascii="Wingdings" w:hAnsi="Wingdings"/>
      </w:rPr>
    </w:lvl>
    <w:lvl w:ilvl="3">
      <w:start w:val="1"/>
      <w:numFmt w:val="bullet"/>
      <w:isLgl w:val="false"/>
      <w:suff w:val="tab"/>
      <w:lvlText w:val=""/>
      <w:lvlJc w:val="left"/>
      <w:pPr>
        <w:ind w:left="3641" w:hanging="360"/>
      </w:pPr>
      <w:rPr>
        <w:rFonts w:ascii="Symbol" w:hAnsi="Symbol"/>
      </w:rPr>
    </w:lvl>
    <w:lvl w:ilvl="4">
      <w:start w:val="1"/>
      <w:numFmt w:val="bullet"/>
      <w:isLgl w:val="false"/>
      <w:suff w:val="tab"/>
      <w:lvlText w:val="o"/>
      <w:lvlJc w:val="left"/>
      <w:pPr>
        <w:ind w:left="4361" w:hanging="360"/>
      </w:pPr>
      <w:rPr>
        <w:rFonts w:ascii="Courier New" w:hAnsi="Courier New" w:cs="Courier New"/>
      </w:rPr>
    </w:lvl>
    <w:lvl w:ilvl="5">
      <w:start w:val="1"/>
      <w:numFmt w:val="bullet"/>
      <w:isLgl w:val="false"/>
      <w:suff w:val="tab"/>
      <w:lvlText w:val=""/>
      <w:lvlJc w:val="left"/>
      <w:pPr>
        <w:ind w:left="5081" w:hanging="360"/>
      </w:pPr>
      <w:rPr>
        <w:rFonts w:ascii="Wingdings" w:hAnsi="Wingdings"/>
      </w:rPr>
    </w:lvl>
    <w:lvl w:ilvl="6">
      <w:start w:val="1"/>
      <w:numFmt w:val="bullet"/>
      <w:isLgl w:val="false"/>
      <w:suff w:val="tab"/>
      <w:lvlText w:val=""/>
      <w:lvlJc w:val="left"/>
      <w:pPr>
        <w:ind w:left="5801" w:hanging="360"/>
      </w:pPr>
      <w:rPr>
        <w:rFonts w:ascii="Symbol" w:hAnsi="Symbol"/>
      </w:rPr>
    </w:lvl>
    <w:lvl w:ilvl="7">
      <w:start w:val="1"/>
      <w:numFmt w:val="bullet"/>
      <w:isLgl w:val="false"/>
      <w:suff w:val="tab"/>
      <w:lvlText w:val="o"/>
      <w:lvlJc w:val="left"/>
      <w:pPr>
        <w:ind w:left="6521" w:hanging="360"/>
      </w:pPr>
      <w:rPr>
        <w:rFonts w:ascii="Courier New" w:hAnsi="Courier New" w:cs="Courier New"/>
      </w:rPr>
    </w:lvl>
    <w:lvl w:ilvl="8">
      <w:start w:val="1"/>
      <w:numFmt w:val="bullet"/>
      <w:isLgl w:val="false"/>
      <w:suff w:val="tab"/>
      <w:lvlText w:val=""/>
      <w:lvlJc w:val="left"/>
      <w:pPr>
        <w:ind w:left="7241" w:hanging="360"/>
      </w:pPr>
      <w:rPr>
        <w:rFonts w:ascii="Wingdings" w:hAnsi="Wingdings"/>
      </w:rPr>
    </w:lvl>
  </w:abstractNum>
  <w:abstractNum w:abstractNumId="27">
    <w:multiLevelType w:val="hybridMultilevel"/>
    <w:lvl w:ilvl="0">
      <w:start w:val="1"/>
      <w:numFmt w:val="bullet"/>
      <w:isLgl w:val="false"/>
      <w:suff w:val="tab"/>
      <w:lvlText w:val=""/>
      <w:lvlJc w:val="left"/>
      <w:pPr>
        <w:ind w:left="1429" w:hanging="360"/>
      </w:pPr>
      <w:rPr>
        <w:rFonts w:ascii="Symbol" w:hAnsi="Symbol"/>
      </w:rPr>
    </w:lvl>
    <w:lvl w:ilvl="1">
      <w:start w:val="1"/>
      <w:numFmt w:val="bullet"/>
      <w:isLgl w:val="false"/>
      <w:suff w:val="tab"/>
      <w:lvlText w:val="o"/>
      <w:lvlJc w:val="left"/>
      <w:pPr>
        <w:ind w:left="2149" w:hanging="360"/>
      </w:pPr>
      <w:rPr>
        <w:rFonts w:ascii="Courier New" w:hAnsi="Courier New" w:cs="Courier New"/>
      </w:rPr>
    </w:lvl>
    <w:lvl w:ilvl="2">
      <w:start w:val="1"/>
      <w:numFmt w:val="bullet"/>
      <w:isLgl w:val="false"/>
      <w:suff w:val="tab"/>
      <w:lvlText w:val=""/>
      <w:lvlJc w:val="left"/>
      <w:pPr>
        <w:ind w:left="2869" w:hanging="360"/>
      </w:pPr>
      <w:rPr>
        <w:rFonts w:ascii="Wingdings" w:hAnsi="Wingdings"/>
      </w:rPr>
    </w:lvl>
    <w:lvl w:ilvl="3">
      <w:start w:val="1"/>
      <w:numFmt w:val="bullet"/>
      <w:isLgl w:val="false"/>
      <w:suff w:val="tab"/>
      <w:lvlText w:val=""/>
      <w:lvlJc w:val="left"/>
      <w:pPr>
        <w:ind w:left="3589" w:hanging="360"/>
      </w:pPr>
      <w:rPr>
        <w:rFonts w:ascii="Symbol" w:hAnsi="Symbol"/>
      </w:rPr>
    </w:lvl>
    <w:lvl w:ilvl="4">
      <w:start w:val="1"/>
      <w:numFmt w:val="bullet"/>
      <w:isLgl w:val="false"/>
      <w:suff w:val="tab"/>
      <w:lvlText w:val="o"/>
      <w:lvlJc w:val="left"/>
      <w:pPr>
        <w:ind w:left="4309" w:hanging="360"/>
      </w:pPr>
      <w:rPr>
        <w:rFonts w:ascii="Courier New" w:hAnsi="Courier New" w:cs="Courier New"/>
      </w:rPr>
    </w:lvl>
    <w:lvl w:ilvl="5">
      <w:start w:val="1"/>
      <w:numFmt w:val="bullet"/>
      <w:isLgl w:val="false"/>
      <w:suff w:val="tab"/>
      <w:lvlText w:val=""/>
      <w:lvlJc w:val="left"/>
      <w:pPr>
        <w:ind w:left="5029" w:hanging="360"/>
      </w:pPr>
      <w:rPr>
        <w:rFonts w:ascii="Wingdings" w:hAnsi="Wingdings"/>
      </w:rPr>
    </w:lvl>
    <w:lvl w:ilvl="6">
      <w:start w:val="1"/>
      <w:numFmt w:val="bullet"/>
      <w:isLgl w:val="false"/>
      <w:suff w:val="tab"/>
      <w:lvlText w:val=""/>
      <w:lvlJc w:val="left"/>
      <w:pPr>
        <w:ind w:left="5749" w:hanging="360"/>
      </w:pPr>
      <w:rPr>
        <w:rFonts w:ascii="Symbol" w:hAnsi="Symbol"/>
      </w:rPr>
    </w:lvl>
    <w:lvl w:ilvl="7">
      <w:start w:val="1"/>
      <w:numFmt w:val="bullet"/>
      <w:isLgl w:val="false"/>
      <w:suff w:val="tab"/>
      <w:lvlText w:val="o"/>
      <w:lvlJc w:val="left"/>
      <w:pPr>
        <w:ind w:left="6469" w:hanging="360"/>
      </w:pPr>
      <w:rPr>
        <w:rFonts w:ascii="Courier New" w:hAnsi="Courier New" w:cs="Courier New"/>
      </w:rPr>
    </w:lvl>
    <w:lvl w:ilvl="8">
      <w:start w:val="1"/>
      <w:numFmt w:val="bullet"/>
      <w:isLgl w:val="false"/>
      <w:suff w:val="tab"/>
      <w:lvlText w:val=""/>
      <w:lvlJc w:val="left"/>
      <w:pPr>
        <w:ind w:left="7189" w:hanging="360"/>
      </w:pPr>
      <w:rPr>
        <w:rFonts w:ascii="Wingdings" w:hAnsi="Wingdings"/>
      </w:rPr>
    </w:lvl>
  </w:abstractNum>
  <w:abstractNum w:abstractNumId="28">
    <w:multiLevelType w:val="hybridMultilevel"/>
    <w:lvl w:ilvl="0">
      <w:start w:val="1"/>
      <w:numFmt w:val="bullet"/>
      <w:isLgl w:val="false"/>
      <w:suff w:val="tab"/>
      <w:lvlText w:val=""/>
      <w:lvlJc w:val="left"/>
      <w:pPr>
        <w:ind w:left="1429" w:hanging="360"/>
      </w:pPr>
      <w:rPr>
        <w:rFonts w:ascii="Symbol" w:hAnsi="Symbol"/>
      </w:rPr>
    </w:lvl>
    <w:lvl w:ilvl="1">
      <w:start w:val="1"/>
      <w:numFmt w:val="bullet"/>
      <w:isLgl w:val="false"/>
      <w:suff w:val="tab"/>
      <w:lvlText w:val="o"/>
      <w:lvlJc w:val="left"/>
      <w:pPr>
        <w:ind w:left="2149" w:hanging="360"/>
      </w:pPr>
      <w:rPr>
        <w:rFonts w:ascii="Courier New" w:hAnsi="Courier New" w:cs="Courier New"/>
      </w:rPr>
    </w:lvl>
    <w:lvl w:ilvl="2">
      <w:start w:val="1"/>
      <w:numFmt w:val="bullet"/>
      <w:isLgl w:val="false"/>
      <w:suff w:val="tab"/>
      <w:lvlText w:val=""/>
      <w:lvlJc w:val="left"/>
      <w:pPr>
        <w:ind w:left="2869" w:hanging="360"/>
      </w:pPr>
      <w:rPr>
        <w:rFonts w:ascii="Wingdings" w:hAnsi="Wingdings"/>
      </w:rPr>
    </w:lvl>
    <w:lvl w:ilvl="3">
      <w:start w:val="1"/>
      <w:numFmt w:val="bullet"/>
      <w:isLgl w:val="false"/>
      <w:suff w:val="tab"/>
      <w:lvlText w:val=""/>
      <w:lvlJc w:val="left"/>
      <w:pPr>
        <w:ind w:left="3589" w:hanging="360"/>
      </w:pPr>
      <w:rPr>
        <w:rFonts w:ascii="Symbol" w:hAnsi="Symbol"/>
      </w:rPr>
    </w:lvl>
    <w:lvl w:ilvl="4">
      <w:start w:val="1"/>
      <w:numFmt w:val="bullet"/>
      <w:isLgl w:val="false"/>
      <w:suff w:val="tab"/>
      <w:lvlText w:val="o"/>
      <w:lvlJc w:val="left"/>
      <w:pPr>
        <w:ind w:left="4309" w:hanging="360"/>
      </w:pPr>
      <w:rPr>
        <w:rFonts w:ascii="Courier New" w:hAnsi="Courier New" w:cs="Courier New"/>
      </w:rPr>
    </w:lvl>
    <w:lvl w:ilvl="5">
      <w:start w:val="1"/>
      <w:numFmt w:val="bullet"/>
      <w:isLgl w:val="false"/>
      <w:suff w:val="tab"/>
      <w:lvlText w:val=""/>
      <w:lvlJc w:val="left"/>
      <w:pPr>
        <w:ind w:left="5029" w:hanging="360"/>
      </w:pPr>
      <w:rPr>
        <w:rFonts w:ascii="Wingdings" w:hAnsi="Wingdings"/>
      </w:rPr>
    </w:lvl>
    <w:lvl w:ilvl="6">
      <w:start w:val="1"/>
      <w:numFmt w:val="bullet"/>
      <w:isLgl w:val="false"/>
      <w:suff w:val="tab"/>
      <w:lvlText w:val=""/>
      <w:lvlJc w:val="left"/>
      <w:pPr>
        <w:ind w:left="5749" w:hanging="360"/>
      </w:pPr>
      <w:rPr>
        <w:rFonts w:ascii="Symbol" w:hAnsi="Symbol"/>
      </w:rPr>
    </w:lvl>
    <w:lvl w:ilvl="7">
      <w:start w:val="1"/>
      <w:numFmt w:val="bullet"/>
      <w:isLgl w:val="false"/>
      <w:suff w:val="tab"/>
      <w:lvlText w:val="o"/>
      <w:lvlJc w:val="left"/>
      <w:pPr>
        <w:ind w:left="6469" w:hanging="360"/>
      </w:pPr>
      <w:rPr>
        <w:rFonts w:ascii="Courier New" w:hAnsi="Courier New" w:cs="Courier New"/>
      </w:rPr>
    </w:lvl>
    <w:lvl w:ilvl="8">
      <w:start w:val="1"/>
      <w:numFmt w:val="bullet"/>
      <w:isLgl w:val="false"/>
      <w:suff w:val="tab"/>
      <w:lvlText w:val=""/>
      <w:lvlJc w:val="left"/>
      <w:pPr>
        <w:ind w:left="7189" w:hanging="360"/>
      </w:pPr>
      <w:rPr>
        <w:rFonts w:ascii="Wingdings" w:hAnsi="Wingdings"/>
      </w:rPr>
    </w:lvl>
  </w:abstractNum>
  <w:abstractNum w:abstractNumId="29">
    <w:multiLevelType w:val="hybridMultilevel"/>
    <w:lvl w:ilvl="0">
      <w:start w:val="1"/>
      <w:numFmt w:val="bullet"/>
      <w:isLgl w:val="false"/>
      <w:suff w:val="tab"/>
      <w:lvlText w:val=""/>
      <w:lvlJc w:val="left"/>
      <w:pPr>
        <w:ind w:left="720" w:hanging="360"/>
      </w:pPr>
      <w:rPr>
        <w:rFonts w:ascii="Symbol" w:hAnsi="Symbol"/>
      </w:rPr>
    </w:lvl>
    <w:lvl w:ilvl="1">
      <w:start w:val="1"/>
      <w:numFmt w:val="bullet"/>
      <w:isLgl w:val="false"/>
      <w:suff w:val="tab"/>
      <w:lvlText w:val="o"/>
      <w:lvlJc w:val="left"/>
      <w:pPr>
        <w:ind w:left="1440" w:hanging="360"/>
      </w:pPr>
      <w:rPr>
        <w:rFonts w:ascii="Courier New" w:hAnsi="Courier New" w:cs="Courier New"/>
      </w:rPr>
    </w:lvl>
    <w:lvl w:ilvl="2">
      <w:start w:val="1"/>
      <w:numFmt w:val="bullet"/>
      <w:isLgl w:val="false"/>
      <w:suff w:val="tab"/>
      <w:lvlText w:val=""/>
      <w:lvlJc w:val="left"/>
      <w:pPr>
        <w:ind w:left="2160" w:hanging="360"/>
      </w:pPr>
      <w:rPr>
        <w:rFonts w:ascii="Wingdings" w:hAnsi="Wingdings"/>
      </w:rPr>
    </w:lvl>
    <w:lvl w:ilvl="3">
      <w:start w:val="1"/>
      <w:numFmt w:val="bullet"/>
      <w:isLgl w:val="false"/>
      <w:suff w:val="tab"/>
      <w:lvlText w:val=""/>
      <w:lvlJc w:val="left"/>
      <w:pPr>
        <w:ind w:left="2880" w:hanging="360"/>
      </w:pPr>
      <w:rPr>
        <w:rFonts w:ascii="Symbol" w:hAnsi="Symbol"/>
      </w:rPr>
    </w:lvl>
    <w:lvl w:ilvl="4">
      <w:start w:val="1"/>
      <w:numFmt w:val="bullet"/>
      <w:isLgl w:val="false"/>
      <w:suff w:val="tab"/>
      <w:lvlText w:val="o"/>
      <w:lvlJc w:val="left"/>
      <w:pPr>
        <w:ind w:left="3600" w:hanging="360"/>
      </w:pPr>
      <w:rPr>
        <w:rFonts w:ascii="Courier New" w:hAnsi="Courier New" w:cs="Courier New"/>
      </w:rPr>
    </w:lvl>
    <w:lvl w:ilvl="5">
      <w:start w:val="1"/>
      <w:numFmt w:val="bullet"/>
      <w:isLgl w:val="false"/>
      <w:suff w:val="tab"/>
      <w:lvlText w:val=""/>
      <w:lvlJc w:val="left"/>
      <w:pPr>
        <w:ind w:left="4320" w:hanging="360"/>
      </w:pPr>
      <w:rPr>
        <w:rFonts w:ascii="Wingdings" w:hAnsi="Wingdings"/>
      </w:rPr>
    </w:lvl>
    <w:lvl w:ilvl="6">
      <w:start w:val="1"/>
      <w:numFmt w:val="bullet"/>
      <w:isLgl w:val="false"/>
      <w:suff w:val="tab"/>
      <w:lvlText w:val=""/>
      <w:lvlJc w:val="left"/>
      <w:pPr>
        <w:ind w:left="5040" w:hanging="360"/>
      </w:pPr>
      <w:rPr>
        <w:rFonts w:ascii="Symbol" w:hAnsi="Symbol"/>
      </w:rPr>
    </w:lvl>
    <w:lvl w:ilvl="7">
      <w:start w:val="1"/>
      <w:numFmt w:val="bullet"/>
      <w:isLgl w:val="false"/>
      <w:suff w:val="tab"/>
      <w:lvlText w:val="o"/>
      <w:lvlJc w:val="left"/>
      <w:pPr>
        <w:ind w:left="5760" w:hanging="360"/>
      </w:pPr>
      <w:rPr>
        <w:rFonts w:ascii="Courier New" w:hAnsi="Courier New" w:cs="Courier New"/>
      </w:rPr>
    </w:lvl>
    <w:lvl w:ilvl="8">
      <w:start w:val="1"/>
      <w:numFmt w:val="bullet"/>
      <w:isLgl w:val="false"/>
      <w:suff w:val="tab"/>
      <w:lvlText w:val=""/>
      <w:lvlJc w:val="left"/>
      <w:pPr>
        <w:ind w:left="6480" w:hanging="360"/>
      </w:pPr>
      <w:rPr>
        <w:rFonts w:ascii="Wingdings" w:hAnsi="Wingdings"/>
      </w:rPr>
    </w:lvl>
  </w:abstractNum>
  <w:abstractNum w:abstractNumId="30">
    <w:multiLevelType w:val="hybridMultilevel"/>
    <w:lvl w:ilvl="0">
      <w:start w:val="1"/>
      <w:numFmt w:val="bullet"/>
      <w:isLgl w:val="false"/>
      <w:suff w:val="tab"/>
      <w:lvlText w:val=""/>
      <w:lvlJc w:val="left"/>
      <w:pPr>
        <w:ind w:left="1287" w:hanging="360"/>
      </w:pPr>
      <w:rPr>
        <w:rFonts w:ascii="Symbol" w:hAnsi="Symbol"/>
      </w:rPr>
    </w:lvl>
    <w:lvl w:ilvl="1">
      <w:start w:val="1"/>
      <w:numFmt w:val="bullet"/>
      <w:isLgl w:val="false"/>
      <w:suff w:val="tab"/>
      <w:lvlText w:val="o"/>
      <w:lvlJc w:val="left"/>
      <w:pPr>
        <w:ind w:left="2007" w:hanging="360"/>
      </w:pPr>
      <w:rPr>
        <w:rFonts w:ascii="Courier New" w:hAnsi="Courier New" w:cs="Courier New"/>
      </w:rPr>
    </w:lvl>
    <w:lvl w:ilvl="2">
      <w:start w:val="1"/>
      <w:numFmt w:val="bullet"/>
      <w:isLgl w:val="false"/>
      <w:suff w:val="tab"/>
      <w:lvlText w:val=""/>
      <w:lvlJc w:val="left"/>
      <w:pPr>
        <w:ind w:left="2727" w:hanging="360"/>
      </w:pPr>
      <w:rPr>
        <w:rFonts w:ascii="Wingdings" w:hAnsi="Wingdings"/>
      </w:rPr>
    </w:lvl>
    <w:lvl w:ilvl="3">
      <w:start w:val="1"/>
      <w:numFmt w:val="bullet"/>
      <w:isLgl w:val="false"/>
      <w:suff w:val="tab"/>
      <w:lvlText w:val=""/>
      <w:lvlJc w:val="left"/>
      <w:pPr>
        <w:ind w:left="3447" w:hanging="360"/>
      </w:pPr>
      <w:rPr>
        <w:rFonts w:ascii="Symbol" w:hAnsi="Symbol"/>
      </w:rPr>
    </w:lvl>
    <w:lvl w:ilvl="4">
      <w:start w:val="1"/>
      <w:numFmt w:val="bullet"/>
      <w:isLgl w:val="false"/>
      <w:suff w:val="tab"/>
      <w:lvlText w:val="o"/>
      <w:lvlJc w:val="left"/>
      <w:pPr>
        <w:ind w:left="4167" w:hanging="360"/>
      </w:pPr>
      <w:rPr>
        <w:rFonts w:ascii="Courier New" w:hAnsi="Courier New" w:cs="Courier New"/>
      </w:rPr>
    </w:lvl>
    <w:lvl w:ilvl="5">
      <w:start w:val="1"/>
      <w:numFmt w:val="bullet"/>
      <w:isLgl w:val="false"/>
      <w:suff w:val="tab"/>
      <w:lvlText w:val=""/>
      <w:lvlJc w:val="left"/>
      <w:pPr>
        <w:ind w:left="4887" w:hanging="360"/>
      </w:pPr>
      <w:rPr>
        <w:rFonts w:ascii="Wingdings" w:hAnsi="Wingdings"/>
      </w:rPr>
    </w:lvl>
    <w:lvl w:ilvl="6">
      <w:start w:val="1"/>
      <w:numFmt w:val="bullet"/>
      <w:isLgl w:val="false"/>
      <w:suff w:val="tab"/>
      <w:lvlText w:val=""/>
      <w:lvlJc w:val="left"/>
      <w:pPr>
        <w:ind w:left="5607" w:hanging="360"/>
      </w:pPr>
      <w:rPr>
        <w:rFonts w:ascii="Symbol" w:hAnsi="Symbol"/>
      </w:rPr>
    </w:lvl>
    <w:lvl w:ilvl="7">
      <w:start w:val="1"/>
      <w:numFmt w:val="bullet"/>
      <w:isLgl w:val="false"/>
      <w:suff w:val="tab"/>
      <w:lvlText w:val="o"/>
      <w:lvlJc w:val="left"/>
      <w:pPr>
        <w:ind w:left="6327" w:hanging="360"/>
      </w:pPr>
      <w:rPr>
        <w:rFonts w:ascii="Courier New" w:hAnsi="Courier New" w:cs="Courier New"/>
      </w:rPr>
    </w:lvl>
    <w:lvl w:ilvl="8">
      <w:start w:val="1"/>
      <w:numFmt w:val="bullet"/>
      <w:isLgl w:val="false"/>
      <w:suff w:val="tab"/>
      <w:lvlText w:val=""/>
      <w:lvlJc w:val="left"/>
      <w:pPr>
        <w:ind w:left="7047" w:hanging="360"/>
      </w:pPr>
      <w:rPr>
        <w:rFonts w:ascii="Wingdings" w:hAnsi="Wingdings"/>
      </w:rPr>
    </w:lvl>
  </w:abstractNum>
  <w:abstractNum w:abstractNumId="31">
    <w:multiLevelType w:val="hybridMultilevel"/>
    <w:lvl w:ilvl="0">
      <w:start w:val="1"/>
      <w:numFmt w:val="bullet"/>
      <w:isLgl w:val="false"/>
      <w:suff w:val="tab"/>
      <w:lvlText w:val=""/>
      <w:lvlJc w:val="left"/>
      <w:pPr>
        <w:ind w:left="1429" w:hanging="360"/>
      </w:pPr>
      <w:rPr>
        <w:rFonts w:ascii="Symbol" w:hAnsi="Symbol"/>
      </w:rPr>
    </w:lvl>
    <w:lvl w:ilvl="1">
      <w:start w:val="1"/>
      <w:numFmt w:val="bullet"/>
      <w:isLgl w:val="false"/>
      <w:suff w:val="tab"/>
      <w:lvlText w:val="o"/>
      <w:lvlJc w:val="left"/>
      <w:pPr>
        <w:ind w:left="2149" w:hanging="360"/>
      </w:pPr>
      <w:rPr>
        <w:rFonts w:ascii="Courier New" w:hAnsi="Courier New" w:cs="Courier New"/>
      </w:rPr>
    </w:lvl>
    <w:lvl w:ilvl="2">
      <w:start w:val="1"/>
      <w:numFmt w:val="bullet"/>
      <w:isLgl w:val="false"/>
      <w:suff w:val="tab"/>
      <w:lvlText w:val=""/>
      <w:lvlJc w:val="left"/>
      <w:pPr>
        <w:ind w:left="2869" w:hanging="360"/>
      </w:pPr>
      <w:rPr>
        <w:rFonts w:ascii="Wingdings" w:hAnsi="Wingdings"/>
      </w:rPr>
    </w:lvl>
    <w:lvl w:ilvl="3">
      <w:start w:val="1"/>
      <w:numFmt w:val="bullet"/>
      <w:isLgl w:val="false"/>
      <w:suff w:val="tab"/>
      <w:lvlText w:val=""/>
      <w:lvlJc w:val="left"/>
      <w:pPr>
        <w:ind w:left="3589" w:hanging="360"/>
      </w:pPr>
      <w:rPr>
        <w:rFonts w:ascii="Symbol" w:hAnsi="Symbol"/>
      </w:rPr>
    </w:lvl>
    <w:lvl w:ilvl="4">
      <w:start w:val="1"/>
      <w:numFmt w:val="bullet"/>
      <w:isLgl w:val="false"/>
      <w:suff w:val="tab"/>
      <w:lvlText w:val="o"/>
      <w:lvlJc w:val="left"/>
      <w:pPr>
        <w:ind w:left="4309" w:hanging="360"/>
      </w:pPr>
      <w:rPr>
        <w:rFonts w:ascii="Courier New" w:hAnsi="Courier New" w:cs="Courier New"/>
      </w:rPr>
    </w:lvl>
    <w:lvl w:ilvl="5">
      <w:start w:val="1"/>
      <w:numFmt w:val="bullet"/>
      <w:isLgl w:val="false"/>
      <w:suff w:val="tab"/>
      <w:lvlText w:val=""/>
      <w:lvlJc w:val="left"/>
      <w:pPr>
        <w:ind w:left="5029" w:hanging="360"/>
      </w:pPr>
      <w:rPr>
        <w:rFonts w:ascii="Wingdings" w:hAnsi="Wingdings"/>
      </w:rPr>
    </w:lvl>
    <w:lvl w:ilvl="6">
      <w:start w:val="1"/>
      <w:numFmt w:val="bullet"/>
      <w:isLgl w:val="false"/>
      <w:suff w:val="tab"/>
      <w:lvlText w:val=""/>
      <w:lvlJc w:val="left"/>
      <w:pPr>
        <w:ind w:left="5749" w:hanging="360"/>
      </w:pPr>
      <w:rPr>
        <w:rFonts w:ascii="Symbol" w:hAnsi="Symbol"/>
      </w:rPr>
    </w:lvl>
    <w:lvl w:ilvl="7">
      <w:start w:val="1"/>
      <w:numFmt w:val="bullet"/>
      <w:isLgl w:val="false"/>
      <w:suff w:val="tab"/>
      <w:lvlText w:val="o"/>
      <w:lvlJc w:val="left"/>
      <w:pPr>
        <w:ind w:left="6469" w:hanging="360"/>
      </w:pPr>
      <w:rPr>
        <w:rFonts w:ascii="Courier New" w:hAnsi="Courier New" w:cs="Courier New"/>
      </w:rPr>
    </w:lvl>
    <w:lvl w:ilvl="8">
      <w:start w:val="1"/>
      <w:numFmt w:val="bullet"/>
      <w:isLgl w:val="false"/>
      <w:suff w:val="tab"/>
      <w:lvlText w:val=""/>
      <w:lvlJc w:val="left"/>
      <w:pPr>
        <w:ind w:left="7189" w:hanging="360"/>
      </w:pPr>
      <w:rPr>
        <w:rFonts w:ascii="Wingdings" w:hAnsi="Wingdings"/>
      </w:rPr>
    </w:lvl>
  </w:abstractNum>
  <w:abstractNum w:abstractNumId="32">
    <w:multiLevelType w:val="hybridMultilevel"/>
    <w:lvl w:ilvl="0">
      <w:start w:val="1"/>
      <w:numFmt w:val="bullet"/>
      <w:isLgl w:val="false"/>
      <w:suff w:val="tab"/>
      <w:lvlText w:val=""/>
      <w:lvlJc w:val="left"/>
      <w:pPr>
        <w:ind w:left="1146" w:hanging="360"/>
      </w:pPr>
      <w:rPr>
        <w:rFonts w:ascii="Symbol" w:hAnsi="Symbol"/>
      </w:rPr>
    </w:lvl>
    <w:lvl w:ilvl="1">
      <w:start w:val="1"/>
      <w:numFmt w:val="bullet"/>
      <w:isLgl w:val="false"/>
      <w:suff w:val="tab"/>
      <w:lvlText w:val="o"/>
      <w:lvlJc w:val="left"/>
      <w:pPr>
        <w:ind w:left="1866" w:hanging="360"/>
      </w:pPr>
      <w:rPr>
        <w:rFonts w:ascii="Courier New" w:hAnsi="Courier New" w:cs="Courier New"/>
      </w:rPr>
    </w:lvl>
    <w:lvl w:ilvl="2">
      <w:start w:val="1"/>
      <w:numFmt w:val="bullet"/>
      <w:isLgl w:val="false"/>
      <w:suff w:val="tab"/>
      <w:lvlText w:val=""/>
      <w:lvlJc w:val="left"/>
      <w:pPr>
        <w:ind w:left="2586" w:hanging="360"/>
      </w:pPr>
      <w:rPr>
        <w:rFonts w:ascii="Wingdings" w:hAnsi="Wingdings"/>
      </w:rPr>
    </w:lvl>
    <w:lvl w:ilvl="3">
      <w:start w:val="1"/>
      <w:numFmt w:val="bullet"/>
      <w:isLgl w:val="false"/>
      <w:suff w:val="tab"/>
      <w:lvlText w:val=""/>
      <w:lvlJc w:val="left"/>
      <w:pPr>
        <w:ind w:left="3306" w:hanging="360"/>
      </w:pPr>
      <w:rPr>
        <w:rFonts w:ascii="Symbol" w:hAnsi="Symbol"/>
      </w:rPr>
    </w:lvl>
    <w:lvl w:ilvl="4">
      <w:start w:val="1"/>
      <w:numFmt w:val="bullet"/>
      <w:isLgl w:val="false"/>
      <w:suff w:val="tab"/>
      <w:lvlText w:val="o"/>
      <w:lvlJc w:val="left"/>
      <w:pPr>
        <w:ind w:left="4026" w:hanging="360"/>
      </w:pPr>
      <w:rPr>
        <w:rFonts w:ascii="Courier New" w:hAnsi="Courier New" w:cs="Courier New"/>
      </w:rPr>
    </w:lvl>
    <w:lvl w:ilvl="5">
      <w:start w:val="1"/>
      <w:numFmt w:val="bullet"/>
      <w:isLgl w:val="false"/>
      <w:suff w:val="tab"/>
      <w:lvlText w:val=""/>
      <w:lvlJc w:val="left"/>
      <w:pPr>
        <w:ind w:left="4746" w:hanging="360"/>
      </w:pPr>
      <w:rPr>
        <w:rFonts w:ascii="Wingdings" w:hAnsi="Wingdings"/>
      </w:rPr>
    </w:lvl>
    <w:lvl w:ilvl="6">
      <w:start w:val="1"/>
      <w:numFmt w:val="bullet"/>
      <w:isLgl w:val="false"/>
      <w:suff w:val="tab"/>
      <w:lvlText w:val=""/>
      <w:lvlJc w:val="left"/>
      <w:pPr>
        <w:ind w:left="5466" w:hanging="360"/>
      </w:pPr>
      <w:rPr>
        <w:rFonts w:ascii="Symbol" w:hAnsi="Symbol"/>
      </w:rPr>
    </w:lvl>
    <w:lvl w:ilvl="7">
      <w:start w:val="1"/>
      <w:numFmt w:val="bullet"/>
      <w:isLgl w:val="false"/>
      <w:suff w:val="tab"/>
      <w:lvlText w:val="o"/>
      <w:lvlJc w:val="left"/>
      <w:pPr>
        <w:ind w:left="6186" w:hanging="360"/>
      </w:pPr>
      <w:rPr>
        <w:rFonts w:ascii="Courier New" w:hAnsi="Courier New" w:cs="Courier New"/>
      </w:rPr>
    </w:lvl>
    <w:lvl w:ilvl="8">
      <w:start w:val="1"/>
      <w:numFmt w:val="bullet"/>
      <w:isLgl w:val="false"/>
      <w:suff w:val="tab"/>
      <w:lvlText w:val=""/>
      <w:lvlJc w:val="left"/>
      <w:pPr>
        <w:ind w:left="6906" w:hanging="360"/>
      </w:pPr>
      <w:rPr>
        <w:rFonts w:ascii="Wingdings" w:hAnsi="Wingdings"/>
      </w:rPr>
    </w:lvl>
  </w:abstractNum>
  <w:abstractNum w:abstractNumId="33">
    <w:multiLevelType w:val="hybridMultilevel"/>
    <w:lvl w:ilvl="0">
      <w:start w:val="1"/>
      <w:numFmt w:val="bullet"/>
      <w:isLgl w:val="false"/>
      <w:suff w:val="tab"/>
      <w:lvlText w:val=""/>
      <w:lvlJc w:val="left"/>
      <w:pPr>
        <w:ind w:left="720" w:hanging="360"/>
      </w:pPr>
      <w:rPr>
        <w:rFonts w:ascii="Symbol" w:hAnsi="Symbol"/>
      </w:rPr>
    </w:lvl>
    <w:lvl w:ilvl="1">
      <w:start w:val="1"/>
      <w:numFmt w:val="bullet"/>
      <w:isLgl w:val="false"/>
      <w:suff w:val="tab"/>
      <w:lvlText w:val="o"/>
      <w:lvlJc w:val="left"/>
      <w:pPr>
        <w:ind w:left="1440" w:hanging="360"/>
      </w:pPr>
      <w:rPr>
        <w:rFonts w:ascii="Courier New" w:hAnsi="Courier New" w:cs="Courier New"/>
      </w:rPr>
    </w:lvl>
    <w:lvl w:ilvl="2">
      <w:start w:val="1"/>
      <w:numFmt w:val="bullet"/>
      <w:isLgl w:val="false"/>
      <w:suff w:val="tab"/>
      <w:lvlText w:val=""/>
      <w:lvlJc w:val="left"/>
      <w:pPr>
        <w:ind w:left="2160" w:hanging="360"/>
      </w:pPr>
      <w:rPr>
        <w:rFonts w:ascii="Wingdings" w:hAnsi="Wingdings"/>
      </w:rPr>
    </w:lvl>
    <w:lvl w:ilvl="3">
      <w:start w:val="1"/>
      <w:numFmt w:val="bullet"/>
      <w:isLgl w:val="false"/>
      <w:suff w:val="tab"/>
      <w:lvlText w:val=""/>
      <w:lvlJc w:val="left"/>
      <w:pPr>
        <w:ind w:left="2880" w:hanging="360"/>
      </w:pPr>
      <w:rPr>
        <w:rFonts w:ascii="Symbol" w:hAnsi="Symbol"/>
      </w:rPr>
    </w:lvl>
    <w:lvl w:ilvl="4">
      <w:start w:val="1"/>
      <w:numFmt w:val="bullet"/>
      <w:isLgl w:val="false"/>
      <w:suff w:val="tab"/>
      <w:lvlText w:val="o"/>
      <w:lvlJc w:val="left"/>
      <w:pPr>
        <w:ind w:left="3600" w:hanging="360"/>
      </w:pPr>
      <w:rPr>
        <w:rFonts w:ascii="Courier New" w:hAnsi="Courier New" w:cs="Courier New"/>
      </w:rPr>
    </w:lvl>
    <w:lvl w:ilvl="5">
      <w:start w:val="1"/>
      <w:numFmt w:val="bullet"/>
      <w:isLgl w:val="false"/>
      <w:suff w:val="tab"/>
      <w:lvlText w:val=""/>
      <w:lvlJc w:val="left"/>
      <w:pPr>
        <w:ind w:left="4320" w:hanging="360"/>
      </w:pPr>
      <w:rPr>
        <w:rFonts w:ascii="Wingdings" w:hAnsi="Wingdings"/>
      </w:rPr>
    </w:lvl>
    <w:lvl w:ilvl="6">
      <w:start w:val="1"/>
      <w:numFmt w:val="bullet"/>
      <w:isLgl w:val="false"/>
      <w:suff w:val="tab"/>
      <w:lvlText w:val=""/>
      <w:lvlJc w:val="left"/>
      <w:pPr>
        <w:ind w:left="5040" w:hanging="360"/>
      </w:pPr>
      <w:rPr>
        <w:rFonts w:ascii="Symbol" w:hAnsi="Symbol"/>
      </w:rPr>
    </w:lvl>
    <w:lvl w:ilvl="7">
      <w:start w:val="1"/>
      <w:numFmt w:val="bullet"/>
      <w:isLgl w:val="false"/>
      <w:suff w:val="tab"/>
      <w:lvlText w:val="o"/>
      <w:lvlJc w:val="left"/>
      <w:pPr>
        <w:ind w:left="5760" w:hanging="360"/>
      </w:pPr>
      <w:rPr>
        <w:rFonts w:ascii="Courier New" w:hAnsi="Courier New" w:cs="Courier New"/>
      </w:rPr>
    </w:lvl>
    <w:lvl w:ilvl="8">
      <w:start w:val="1"/>
      <w:numFmt w:val="bullet"/>
      <w:isLgl w:val="false"/>
      <w:suff w:val="tab"/>
      <w:lvlText w:val=""/>
      <w:lvlJc w:val="left"/>
      <w:pPr>
        <w:ind w:left="6480" w:hanging="360"/>
      </w:pPr>
      <w:rPr>
        <w:rFonts w:ascii="Wingdings" w:hAnsi="Wingdings"/>
      </w:rPr>
    </w:lvl>
  </w:abstractNum>
  <w:abstractNum w:abstractNumId="34">
    <w:multiLevelType w:val="hybridMultilevel"/>
    <w:lvl w:ilvl="0">
      <w:start w:val="1"/>
      <w:numFmt w:val="bullet"/>
      <w:isLgl w:val="false"/>
      <w:suff w:val="tab"/>
      <w:lvlText w:val=""/>
      <w:lvlJc w:val="left"/>
      <w:pPr>
        <w:ind w:left="1429" w:hanging="360"/>
      </w:pPr>
      <w:rPr>
        <w:rFonts w:ascii="Symbol" w:hAnsi="Symbol"/>
      </w:rPr>
    </w:lvl>
    <w:lvl w:ilvl="1">
      <w:start w:val="1"/>
      <w:numFmt w:val="bullet"/>
      <w:isLgl w:val="false"/>
      <w:suff w:val="tab"/>
      <w:lvlText w:val="o"/>
      <w:lvlJc w:val="left"/>
      <w:pPr>
        <w:ind w:left="2149" w:hanging="360"/>
      </w:pPr>
      <w:rPr>
        <w:rFonts w:ascii="Courier New" w:hAnsi="Courier New" w:cs="Courier New"/>
      </w:rPr>
    </w:lvl>
    <w:lvl w:ilvl="2">
      <w:start w:val="1"/>
      <w:numFmt w:val="bullet"/>
      <w:isLgl w:val="false"/>
      <w:suff w:val="tab"/>
      <w:lvlText w:val=""/>
      <w:lvlJc w:val="left"/>
      <w:pPr>
        <w:ind w:left="2869" w:hanging="360"/>
      </w:pPr>
      <w:rPr>
        <w:rFonts w:ascii="Wingdings" w:hAnsi="Wingdings"/>
      </w:rPr>
    </w:lvl>
    <w:lvl w:ilvl="3">
      <w:start w:val="1"/>
      <w:numFmt w:val="bullet"/>
      <w:isLgl w:val="false"/>
      <w:suff w:val="tab"/>
      <w:lvlText w:val=""/>
      <w:lvlJc w:val="left"/>
      <w:pPr>
        <w:ind w:left="3589" w:hanging="360"/>
      </w:pPr>
      <w:rPr>
        <w:rFonts w:ascii="Symbol" w:hAnsi="Symbol"/>
      </w:rPr>
    </w:lvl>
    <w:lvl w:ilvl="4">
      <w:start w:val="1"/>
      <w:numFmt w:val="bullet"/>
      <w:isLgl w:val="false"/>
      <w:suff w:val="tab"/>
      <w:lvlText w:val="o"/>
      <w:lvlJc w:val="left"/>
      <w:pPr>
        <w:ind w:left="4309" w:hanging="360"/>
      </w:pPr>
      <w:rPr>
        <w:rFonts w:ascii="Courier New" w:hAnsi="Courier New" w:cs="Courier New"/>
      </w:rPr>
    </w:lvl>
    <w:lvl w:ilvl="5">
      <w:start w:val="1"/>
      <w:numFmt w:val="bullet"/>
      <w:isLgl w:val="false"/>
      <w:suff w:val="tab"/>
      <w:lvlText w:val=""/>
      <w:lvlJc w:val="left"/>
      <w:pPr>
        <w:ind w:left="5029" w:hanging="360"/>
      </w:pPr>
      <w:rPr>
        <w:rFonts w:ascii="Wingdings" w:hAnsi="Wingdings"/>
      </w:rPr>
    </w:lvl>
    <w:lvl w:ilvl="6">
      <w:start w:val="1"/>
      <w:numFmt w:val="bullet"/>
      <w:isLgl w:val="false"/>
      <w:suff w:val="tab"/>
      <w:lvlText w:val=""/>
      <w:lvlJc w:val="left"/>
      <w:pPr>
        <w:ind w:left="5749" w:hanging="360"/>
      </w:pPr>
      <w:rPr>
        <w:rFonts w:ascii="Symbol" w:hAnsi="Symbol"/>
      </w:rPr>
    </w:lvl>
    <w:lvl w:ilvl="7">
      <w:start w:val="1"/>
      <w:numFmt w:val="bullet"/>
      <w:isLgl w:val="false"/>
      <w:suff w:val="tab"/>
      <w:lvlText w:val="o"/>
      <w:lvlJc w:val="left"/>
      <w:pPr>
        <w:ind w:left="6469" w:hanging="360"/>
      </w:pPr>
      <w:rPr>
        <w:rFonts w:ascii="Courier New" w:hAnsi="Courier New" w:cs="Courier New"/>
      </w:rPr>
    </w:lvl>
    <w:lvl w:ilvl="8">
      <w:start w:val="1"/>
      <w:numFmt w:val="bullet"/>
      <w:isLgl w:val="false"/>
      <w:suff w:val="tab"/>
      <w:lvlText w:val=""/>
      <w:lvlJc w:val="left"/>
      <w:pPr>
        <w:ind w:left="7189" w:hanging="360"/>
      </w:pPr>
      <w:rPr>
        <w:rFonts w:ascii="Wingdings" w:hAnsi="Wingdings"/>
      </w:rPr>
    </w:lvl>
  </w:abstractNum>
  <w:abstractNum w:abstractNumId="35">
    <w:multiLevelType w:val="hybridMultilevel"/>
    <w:lvl w:ilvl="0">
      <w:start w:val="1"/>
      <w:numFmt w:val="bullet"/>
      <w:isLgl w:val="false"/>
      <w:suff w:val="tab"/>
      <w:lvlText w:val=""/>
      <w:lvlJc w:val="left"/>
      <w:pPr>
        <w:ind w:left="720" w:hanging="360"/>
      </w:pPr>
      <w:rPr>
        <w:rFonts w:ascii="Symbol" w:hAnsi="Symbol"/>
        <w:color w:val="000000"/>
      </w:rPr>
    </w:lvl>
    <w:lvl w:ilvl="1">
      <w:start w:val="1"/>
      <w:numFmt w:val="bullet"/>
      <w:isLgl w:val="false"/>
      <w:suff w:val="tab"/>
      <w:lvlText w:val="o"/>
      <w:lvlJc w:val="left"/>
      <w:pPr>
        <w:ind w:left="1440" w:hanging="360"/>
      </w:pPr>
      <w:rPr>
        <w:rFonts w:ascii="Courier New" w:hAnsi="Courier New" w:cs="Courier New"/>
      </w:rPr>
    </w:lvl>
    <w:lvl w:ilvl="2">
      <w:start w:val="1"/>
      <w:numFmt w:val="bullet"/>
      <w:isLgl w:val="false"/>
      <w:suff w:val="tab"/>
      <w:lvlText w:val=""/>
      <w:lvlJc w:val="left"/>
      <w:pPr>
        <w:ind w:left="2160" w:hanging="360"/>
      </w:pPr>
      <w:rPr>
        <w:rFonts w:ascii="Wingdings" w:hAnsi="Wingdings"/>
      </w:rPr>
    </w:lvl>
    <w:lvl w:ilvl="3">
      <w:start w:val="1"/>
      <w:numFmt w:val="bullet"/>
      <w:isLgl w:val="false"/>
      <w:suff w:val="tab"/>
      <w:lvlText w:val=""/>
      <w:lvlJc w:val="left"/>
      <w:pPr>
        <w:ind w:left="2880" w:hanging="360"/>
      </w:pPr>
      <w:rPr>
        <w:rFonts w:ascii="Symbol" w:hAnsi="Symbol"/>
      </w:rPr>
    </w:lvl>
    <w:lvl w:ilvl="4">
      <w:start w:val="1"/>
      <w:numFmt w:val="bullet"/>
      <w:isLgl w:val="false"/>
      <w:suff w:val="tab"/>
      <w:lvlText w:val="o"/>
      <w:lvlJc w:val="left"/>
      <w:pPr>
        <w:ind w:left="3600" w:hanging="360"/>
      </w:pPr>
      <w:rPr>
        <w:rFonts w:ascii="Courier New" w:hAnsi="Courier New" w:cs="Courier New"/>
      </w:rPr>
    </w:lvl>
    <w:lvl w:ilvl="5">
      <w:start w:val="1"/>
      <w:numFmt w:val="bullet"/>
      <w:isLgl w:val="false"/>
      <w:suff w:val="tab"/>
      <w:lvlText w:val=""/>
      <w:lvlJc w:val="left"/>
      <w:pPr>
        <w:ind w:left="4320" w:hanging="360"/>
      </w:pPr>
      <w:rPr>
        <w:rFonts w:ascii="Wingdings" w:hAnsi="Wingdings"/>
      </w:rPr>
    </w:lvl>
    <w:lvl w:ilvl="6">
      <w:start w:val="1"/>
      <w:numFmt w:val="bullet"/>
      <w:isLgl w:val="false"/>
      <w:suff w:val="tab"/>
      <w:lvlText w:val=""/>
      <w:lvlJc w:val="left"/>
      <w:pPr>
        <w:ind w:left="5040" w:hanging="360"/>
      </w:pPr>
      <w:rPr>
        <w:rFonts w:ascii="Symbol" w:hAnsi="Symbol"/>
      </w:rPr>
    </w:lvl>
    <w:lvl w:ilvl="7">
      <w:start w:val="1"/>
      <w:numFmt w:val="bullet"/>
      <w:isLgl w:val="false"/>
      <w:suff w:val="tab"/>
      <w:lvlText w:val="o"/>
      <w:lvlJc w:val="left"/>
      <w:pPr>
        <w:ind w:left="5760" w:hanging="360"/>
      </w:pPr>
      <w:rPr>
        <w:rFonts w:ascii="Courier New" w:hAnsi="Courier New" w:cs="Courier New"/>
      </w:rPr>
    </w:lvl>
    <w:lvl w:ilvl="8">
      <w:start w:val="1"/>
      <w:numFmt w:val="bullet"/>
      <w:isLgl w:val="false"/>
      <w:suff w:val="tab"/>
      <w:lvlText w:val=""/>
      <w:lvlJc w:val="left"/>
      <w:pPr>
        <w:ind w:left="6480" w:hanging="360"/>
      </w:pPr>
      <w:rPr>
        <w:rFonts w:ascii="Wingdings" w:hAnsi="Wingdings"/>
      </w:rPr>
    </w:lvl>
  </w:abstractNum>
  <w:abstractNum w:abstractNumId="36">
    <w:multiLevelType w:val="hybridMultilevel"/>
    <w:lvl w:ilvl="0">
      <w:start w:val="1"/>
      <w:numFmt w:val="bullet"/>
      <w:isLgl w:val="false"/>
      <w:suff w:val="tab"/>
      <w:lvlText w:val=""/>
      <w:lvlJc w:val="left"/>
      <w:pPr>
        <w:ind w:left="1429" w:hanging="360"/>
      </w:pPr>
      <w:rPr>
        <w:rFonts w:ascii="Symbol" w:hAnsi="Symbol"/>
      </w:rPr>
    </w:lvl>
    <w:lvl w:ilvl="1">
      <w:start w:val="1"/>
      <w:numFmt w:val="bullet"/>
      <w:isLgl w:val="false"/>
      <w:suff w:val="tab"/>
      <w:lvlText w:val="o"/>
      <w:lvlJc w:val="left"/>
      <w:pPr>
        <w:ind w:left="2149" w:hanging="360"/>
      </w:pPr>
      <w:rPr>
        <w:rFonts w:ascii="Courier New" w:hAnsi="Courier New" w:cs="Courier New"/>
      </w:rPr>
    </w:lvl>
    <w:lvl w:ilvl="2">
      <w:start w:val="1"/>
      <w:numFmt w:val="bullet"/>
      <w:isLgl w:val="false"/>
      <w:suff w:val="tab"/>
      <w:lvlText w:val=""/>
      <w:lvlJc w:val="left"/>
      <w:pPr>
        <w:ind w:left="2869" w:hanging="360"/>
      </w:pPr>
      <w:rPr>
        <w:rFonts w:ascii="Wingdings" w:hAnsi="Wingdings"/>
      </w:rPr>
    </w:lvl>
    <w:lvl w:ilvl="3">
      <w:start w:val="1"/>
      <w:numFmt w:val="bullet"/>
      <w:isLgl w:val="false"/>
      <w:suff w:val="tab"/>
      <w:lvlText w:val=""/>
      <w:lvlJc w:val="left"/>
      <w:pPr>
        <w:ind w:left="3589" w:hanging="360"/>
      </w:pPr>
      <w:rPr>
        <w:rFonts w:ascii="Symbol" w:hAnsi="Symbol"/>
      </w:rPr>
    </w:lvl>
    <w:lvl w:ilvl="4">
      <w:start w:val="1"/>
      <w:numFmt w:val="bullet"/>
      <w:isLgl w:val="false"/>
      <w:suff w:val="tab"/>
      <w:lvlText w:val="o"/>
      <w:lvlJc w:val="left"/>
      <w:pPr>
        <w:ind w:left="4309" w:hanging="360"/>
      </w:pPr>
      <w:rPr>
        <w:rFonts w:ascii="Courier New" w:hAnsi="Courier New" w:cs="Courier New"/>
      </w:rPr>
    </w:lvl>
    <w:lvl w:ilvl="5">
      <w:start w:val="1"/>
      <w:numFmt w:val="bullet"/>
      <w:isLgl w:val="false"/>
      <w:suff w:val="tab"/>
      <w:lvlText w:val=""/>
      <w:lvlJc w:val="left"/>
      <w:pPr>
        <w:ind w:left="5029" w:hanging="360"/>
      </w:pPr>
      <w:rPr>
        <w:rFonts w:ascii="Wingdings" w:hAnsi="Wingdings"/>
      </w:rPr>
    </w:lvl>
    <w:lvl w:ilvl="6">
      <w:start w:val="1"/>
      <w:numFmt w:val="bullet"/>
      <w:isLgl w:val="false"/>
      <w:suff w:val="tab"/>
      <w:lvlText w:val=""/>
      <w:lvlJc w:val="left"/>
      <w:pPr>
        <w:ind w:left="5749" w:hanging="360"/>
      </w:pPr>
      <w:rPr>
        <w:rFonts w:ascii="Symbol" w:hAnsi="Symbol"/>
      </w:rPr>
    </w:lvl>
    <w:lvl w:ilvl="7">
      <w:start w:val="1"/>
      <w:numFmt w:val="bullet"/>
      <w:isLgl w:val="false"/>
      <w:suff w:val="tab"/>
      <w:lvlText w:val="o"/>
      <w:lvlJc w:val="left"/>
      <w:pPr>
        <w:ind w:left="6469" w:hanging="360"/>
      </w:pPr>
      <w:rPr>
        <w:rFonts w:ascii="Courier New" w:hAnsi="Courier New" w:cs="Courier New"/>
      </w:rPr>
    </w:lvl>
    <w:lvl w:ilvl="8">
      <w:start w:val="1"/>
      <w:numFmt w:val="bullet"/>
      <w:isLgl w:val="false"/>
      <w:suff w:val="tab"/>
      <w:lvlText w:val=""/>
      <w:lvlJc w:val="left"/>
      <w:pPr>
        <w:ind w:left="7189" w:hanging="360"/>
      </w:pPr>
      <w:rPr>
        <w:rFonts w:ascii="Wingdings" w:hAnsi="Wingdings"/>
      </w:rPr>
    </w:lvl>
  </w:abstractNum>
  <w:abstractNum w:abstractNumId="37">
    <w:multiLevelType w:val="hybridMultilevel"/>
    <w:lvl w:ilvl="0">
      <w:start w:val="1"/>
      <w:numFmt w:val="bullet"/>
      <w:isLgl w:val="false"/>
      <w:suff w:val="tab"/>
      <w:lvlText w:val=""/>
      <w:lvlJc w:val="left"/>
      <w:pPr>
        <w:ind w:left="720" w:hanging="360"/>
      </w:pPr>
      <w:rPr>
        <w:rFonts w:ascii="Symbol" w:hAnsi="Symbol"/>
      </w:rPr>
    </w:lvl>
    <w:lvl w:ilvl="1">
      <w:start w:val="1"/>
      <w:numFmt w:val="bullet"/>
      <w:isLgl w:val="false"/>
      <w:suff w:val="tab"/>
      <w:lvlText w:val="o"/>
      <w:lvlJc w:val="left"/>
      <w:pPr>
        <w:ind w:left="1440" w:hanging="360"/>
      </w:pPr>
      <w:rPr>
        <w:rFonts w:ascii="Courier New" w:hAnsi="Courier New" w:cs="Courier New"/>
      </w:rPr>
    </w:lvl>
    <w:lvl w:ilvl="2">
      <w:start w:val="1"/>
      <w:numFmt w:val="bullet"/>
      <w:isLgl w:val="false"/>
      <w:suff w:val="tab"/>
      <w:lvlText w:val=""/>
      <w:lvlJc w:val="left"/>
      <w:pPr>
        <w:ind w:left="2160" w:hanging="360"/>
      </w:pPr>
      <w:rPr>
        <w:rFonts w:ascii="Wingdings" w:hAnsi="Wingdings"/>
      </w:rPr>
    </w:lvl>
    <w:lvl w:ilvl="3">
      <w:start w:val="1"/>
      <w:numFmt w:val="bullet"/>
      <w:isLgl w:val="false"/>
      <w:suff w:val="tab"/>
      <w:lvlText w:val=""/>
      <w:lvlJc w:val="left"/>
      <w:pPr>
        <w:ind w:left="2880" w:hanging="360"/>
      </w:pPr>
      <w:rPr>
        <w:rFonts w:ascii="Symbol" w:hAnsi="Symbol"/>
      </w:rPr>
    </w:lvl>
    <w:lvl w:ilvl="4">
      <w:start w:val="1"/>
      <w:numFmt w:val="bullet"/>
      <w:isLgl w:val="false"/>
      <w:suff w:val="tab"/>
      <w:lvlText w:val="o"/>
      <w:lvlJc w:val="left"/>
      <w:pPr>
        <w:ind w:left="3600" w:hanging="360"/>
      </w:pPr>
      <w:rPr>
        <w:rFonts w:ascii="Courier New" w:hAnsi="Courier New" w:cs="Courier New"/>
      </w:rPr>
    </w:lvl>
    <w:lvl w:ilvl="5">
      <w:start w:val="1"/>
      <w:numFmt w:val="bullet"/>
      <w:isLgl w:val="false"/>
      <w:suff w:val="tab"/>
      <w:lvlText w:val=""/>
      <w:lvlJc w:val="left"/>
      <w:pPr>
        <w:ind w:left="4320" w:hanging="360"/>
      </w:pPr>
      <w:rPr>
        <w:rFonts w:ascii="Wingdings" w:hAnsi="Wingdings"/>
      </w:rPr>
    </w:lvl>
    <w:lvl w:ilvl="6">
      <w:start w:val="1"/>
      <w:numFmt w:val="bullet"/>
      <w:isLgl w:val="false"/>
      <w:suff w:val="tab"/>
      <w:lvlText w:val=""/>
      <w:lvlJc w:val="left"/>
      <w:pPr>
        <w:ind w:left="5040" w:hanging="360"/>
      </w:pPr>
      <w:rPr>
        <w:rFonts w:ascii="Symbol" w:hAnsi="Symbol"/>
      </w:rPr>
    </w:lvl>
    <w:lvl w:ilvl="7">
      <w:start w:val="1"/>
      <w:numFmt w:val="bullet"/>
      <w:isLgl w:val="false"/>
      <w:suff w:val="tab"/>
      <w:lvlText w:val="o"/>
      <w:lvlJc w:val="left"/>
      <w:pPr>
        <w:ind w:left="5760" w:hanging="360"/>
      </w:pPr>
      <w:rPr>
        <w:rFonts w:ascii="Courier New" w:hAnsi="Courier New" w:cs="Courier New"/>
      </w:rPr>
    </w:lvl>
    <w:lvl w:ilvl="8">
      <w:start w:val="1"/>
      <w:numFmt w:val="bullet"/>
      <w:isLgl w:val="false"/>
      <w:suff w:val="tab"/>
      <w:lvlText w:val=""/>
      <w:lvlJc w:val="left"/>
      <w:pPr>
        <w:ind w:left="6480" w:hanging="360"/>
      </w:pPr>
      <w:rPr>
        <w:rFonts w:ascii="Wingdings" w:hAnsi="Wingdings"/>
      </w:rPr>
    </w:lvl>
  </w:abstractNum>
  <w:abstractNum w:abstractNumId="38">
    <w:multiLevelType w:val="hybridMultilevel"/>
    <w:lvl w:ilvl="0">
      <w:start w:val="1"/>
      <w:numFmt w:val="bullet"/>
      <w:isLgl w:val="false"/>
      <w:suff w:val="tab"/>
      <w:lvlText w:val=""/>
      <w:lvlJc w:val="left"/>
      <w:pPr>
        <w:ind w:left="1429" w:hanging="360"/>
      </w:pPr>
      <w:rPr>
        <w:rFonts w:ascii="Symbol" w:hAnsi="Symbol"/>
      </w:rPr>
    </w:lvl>
    <w:lvl w:ilvl="1">
      <w:start w:val="1"/>
      <w:numFmt w:val="bullet"/>
      <w:isLgl w:val="false"/>
      <w:suff w:val="tab"/>
      <w:lvlText w:val="o"/>
      <w:lvlJc w:val="left"/>
      <w:pPr>
        <w:ind w:left="2149" w:hanging="360"/>
      </w:pPr>
      <w:rPr>
        <w:rFonts w:ascii="Courier New" w:hAnsi="Courier New" w:cs="Courier New"/>
      </w:rPr>
    </w:lvl>
    <w:lvl w:ilvl="2">
      <w:start w:val="1"/>
      <w:numFmt w:val="bullet"/>
      <w:isLgl w:val="false"/>
      <w:suff w:val="tab"/>
      <w:lvlText w:val=""/>
      <w:lvlJc w:val="left"/>
      <w:pPr>
        <w:ind w:left="2869" w:hanging="360"/>
      </w:pPr>
      <w:rPr>
        <w:rFonts w:ascii="Wingdings" w:hAnsi="Wingdings"/>
      </w:rPr>
    </w:lvl>
    <w:lvl w:ilvl="3">
      <w:start w:val="1"/>
      <w:numFmt w:val="bullet"/>
      <w:isLgl w:val="false"/>
      <w:suff w:val="tab"/>
      <w:lvlText w:val=""/>
      <w:lvlJc w:val="left"/>
      <w:pPr>
        <w:ind w:left="3589" w:hanging="360"/>
      </w:pPr>
      <w:rPr>
        <w:rFonts w:ascii="Symbol" w:hAnsi="Symbol"/>
      </w:rPr>
    </w:lvl>
    <w:lvl w:ilvl="4">
      <w:start w:val="1"/>
      <w:numFmt w:val="bullet"/>
      <w:isLgl w:val="false"/>
      <w:suff w:val="tab"/>
      <w:lvlText w:val="o"/>
      <w:lvlJc w:val="left"/>
      <w:pPr>
        <w:ind w:left="4309" w:hanging="360"/>
      </w:pPr>
      <w:rPr>
        <w:rFonts w:ascii="Courier New" w:hAnsi="Courier New" w:cs="Courier New"/>
      </w:rPr>
    </w:lvl>
    <w:lvl w:ilvl="5">
      <w:start w:val="1"/>
      <w:numFmt w:val="bullet"/>
      <w:isLgl w:val="false"/>
      <w:suff w:val="tab"/>
      <w:lvlText w:val=""/>
      <w:lvlJc w:val="left"/>
      <w:pPr>
        <w:ind w:left="5029" w:hanging="360"/>
      </w:pPr>
      <w:rPr>
        <w:rFonts w:ascii="Wingdings" w:hAnsi="Wingdings"/>
      </w:rPr>
    </w:lvl>
    <w:lvl w:ilvl="6">
      <w:start w:val="1"/>
      <w:numFmt w:val="bullet"/>
      <w:isLgl w:val="false"/>
      <w:suff w:val="tab"/>
      <w:lvlText w:val=""/>
      <w:lvlJc w:val="left"/>
      <w:pPr>
        <w:ind w:left="5749" w:hanging="360"/>
      </w:pPr>
      <w:rPr>
        <w:rFonts w:ascii="Symbol" w:hAnsi="Symbol"/>
      </w:rPr>
    </w:lvl>
    <w:lvl w:ilvl="7">
      <w:start w:val="1"/>
      <w:numFmt w:val="bullet"/>
      <w:isLgl w:val="false"/>
      <w:suff w:val="tab"/>
      <w:lvlText w:val="o"/>
      <w:lvlJc w:val="left"/>
      <w:pPr>
        <w:ind w:left="6469" w:hanging="360"/>
      </w:pPr>
      <w:rPr>
        <w:rFonts w:ascii="Courier New" w:hAnsi="Courier New" w:cs="Courier New"/>
      </w:rPr>
    </w:lvl>
    <w:lvl w:ilvl="8">
      <w:start w:val="1"/>
      <w:numFmt w:val="bullet"/>
      <w:isLgl w:val="false"/>
      <w:suff w:val="tab"/>
      <w:lvlText w:val=""/>
      <w:lvlJc w:val="left"/>
      <w:pPr>
        <w:ind w:left="7189" w:hanging="360"/>
      </w:pPr>
      <w:rPr>
        <w:rFonts w:ascii="Wingdings" w:hAnsi="Wingdings"/>
      </w:rPr>
    </w:lvl>
  </w:abstractNum>
  <w:abstractNum w:abstractNumId="39">
    <w:multiLevelType w:val="hybridMultilevel"/>
    <w:lvl w:ilvl="0">
      <w:start w:val="1"/>
      <w:numFmt w:val="bullet"/>
      <w:isLgl w:val="false"/>
      <w:suff w:val="tab"/>
      <w:lvlText w:val=""/>
      <w:lvlJc w:val="left"/>
      <w:pPr>
        <w:ind w:left="1429" w:hanging="360"/>
      </w:pPr>
      <w:rPr>
        <w:rFonts w:ascii="Symbol" w:hAnsi="Symbol"/>
      </w:rPr>
    </w:lvl>
    <w:lvl w:ilvl="1">
      <w:start w:val="1"/>
      <w:numFmt w:val="bullet"/>
      <w:isLgl w:val="false"/>
      <w:suff w:val="tab"/>
      <w:lvlText w:val="o"/>
      <w:lvlJc w:val="left"/>
      <w:pPr>
        <w:ind w:left="2149" w:hanging="360"/>
      </w:pPr>
      <w:rPr>
        <w:rFonts w:ascii="Courier New" w:hAnsi="Courier New" w:cs="Courier New"/>
      </w:rPr>
    </w:lvl>
    <w:lvl w:ilvl="2">
      <w:start w:val="1"/>
      <w:numFmt w:val="bullet"/>
      <w:isLgl w:val="false"/>
      <w:suff w:val="tab"/>
      <w:lvlText w:val=""/>
      <w:lvlJc w:val="left"/>
      <w:pPr>
        <w:ind w:left="2869" w:hanging="360"/>
      </w:pPr>
      <w:rPr>
        <w:rFonts w:ascii="Wingdings" w:hAnsi="Wingdings"/>
      </w:rPr>
    </w:lvl>
    <w:lvl w:ilvl="3">
      <w:start w:val="1"/>
      <w:numFmt w:val="bullet"/>
      <w:isLgl w:val="false"/>
      <w:suff w:val="tab"/>
      <w:lvlText w:val=""/>
      <w:lvlJc w:val="left"/>
      <w:pPr>
        <w:ind w:left="3589" w:hanging="360"/>
      </w:pPr>
      <w:rPr>
        <w:rFonts w:ascii="Symbol" w:hAnsi="Symbol"/>
      </w:rPr>
    </w:lvl>
    <w:lvl w:ilvl="4">
      <w:start w:val="1"/>
      <w:numFmt w:val="bullet"/>
      <w:isLgl w:val="false"/>
      <w:suff w:val="tab"/>
      <w:lvlText w:val="o"/>
      <w:lvlJc w:val="left"/>
      <w:pPr>
        <w:ind w:left="4309" w:hanging="360"/>
      </w:pPr>
      <w:rPr>
        <w:rFonts w:ascii="Courier New" w:hAnsi="Courier New" w:cs="Courier New"/>
      </w:rPr>
    </w:lvl>
    <w:lvl w:ilvl="5">
      <w:start w:val="1"/>
      <w:numFmt w:val="bullet"/>
      <w:isLgl w:val="false"/>
      <w:suff w:val="tab"/>
      <w:lvlText w:val=""/>
      <w:lvlJc w:val="left"/>
      <w:pPr>
        <w:ind w:left="5029" w:hanging="360"/>
      </w:pPr>
      <w:rPr>
        <w:rFonts w:ascii="Wingdings" w:hAnsi="Wingdings"/>
      </w:rPr>
    </w:lvl>
    <w:lvl w:ilvl="6">
      <w:start w:val="1"/>
      <w:numFmt w:val="bullet"/>
      <w:isLgl w:val="false"/>
      <w:suff w:val="tab"/>
      <w:lvlText w:val=""/>
      <w:lvlJc w:val="left"/>
      <w:pPr>
        <w:ind w:left="5749" w:hanging="360"/>
      </w:pPr>
      <w:rPr>
        <w:rFonts w:ascii="Symbol" w:hAnsi="Symbol"/>
      </w:rPr>
    </w:lvl>
    <w:lvl w:ilvl="7">
      <w:start w:val="1"/>
      <w:numFmt w:val="bullet"/>
      <w:isLgl w:val="false"/>
      <w:suff w:val="tab"/>
      <w:lvlText w:val="o"/>
      <w:lvlJc w:val="left"/>
      <w:pPr>
        <w:ind w:left="6469" w:hanging="360"/>
      </w:pPr>
      <w:rPr>
        <w:rFonts w:ascii="Courier New" w:hAnsi="Courier New" w:cs="Courier New"/>
      </w:rPr>
    </w:lvl>
    <w:lvl w:ilvl="8">
      <w:start w:val="1"/>
      <w:numFmt w:val="bullet"/>
      <w:isLgl w:val="false"/>
      <w:suff w:val="tab"/>
      <w:lvlText w:val=""/>
      <w:lvlJc w:val="left"/>
      <w:pPr>
        <w:ind w:left="7189" w:hanging="360"/>
      </w:pPr>
      <w:rPr>
        <w:rFonts w:ascii="Wingdings" w:hAnsi="Wingdings"/>
      </w:rPr>
    </w:lvl>
  </w:abstractNum>
  <w:num w:numId="1">
    <w:abstractNumId w:val="6"/>
    <w:lvlOverride w:ilvl="1">
      <w:startOverride w:val="0"/>
    </w:lvlOverride>
    <w:lvlOverride w:ilvl="2">
      <w:startOverride w:val="0"/>
    </w:lvlOverride>
    <w:lvlOverride w:ilvl="3">
      <w:startOverride w:val="0"/>
    </w:lvlOverride>
    <w:lvlOverride w:ilvl="4">
      <w:startOverride w:val="0"/>
    </w:lvlOverride>
    <w:lvlOverride w:ilvl="5">
      <w:startOverride w:val="0"/>
    </w:lvlOverride>
    <w:lvlOverride w:ilvl="6">
      <w:startOverride w:val="0"/>
    </w:lvlOverride>
    <w:lvlOverride w:ilvl="7">
      <w:startOverride w:val="0"/>
    </w:lvlOverride>
    <w:lvlOverride w:ilvl="8">
      <w:startOverride w:val="0"/>
    </w:lvlOverride>
  </w:num>
  <w:num w:numId="2">
    <w:abstractNumId w:val="19"/>
  </w:num>
  <w:num w:numId="3">
    <w:abstractNumId w:val="16"/>
  </w:num>
  <w:num w:numId="4">
    <w:abstractNumId w:val="12"/>
  </w:num>
  <w:num w:numId="5">
    <w:abstractNumId w:val="2"/>
  </w:num>
  <w:num w:numId="6">
    <w:abstractNumId w:val="3"/>
  </w:num>
  <w:num w:numId="7">
    <w:abstractNumId w:val="11"/>
  </w:num>
  <w:num w:numId="8">
    <w:abstractNumId w:val="21"/>
  </w:num>
  <w:num w:numId="9">
    <w:abstractNumId w:val="27"/>
  </w:num>
  <w:num w:numId="10">
    <w:abstractNumId w:val="2"/>
  </w:num>
  <w:num w:numId="11">
    <w:abstractNumId w:val="17"/>
  </w:num>
  <w:num w:numId="12">
    <w:abstractNumId w:val="13"/>
  </w:num>
  <w:num w:numId="13">
    <w:abstractNumId w:val="8"/>
  </w:num>
  <w:num w:numId="14">
    <w:abstractNumId w:val="5"/>
  </w:num>
  <w:num w:numId="15">
    <w:abstractNumId w:val="26"/>
  </w:num>
  <w:num w:numId="16">
    <w:abstractNumId w:val="28"/>
  </w:num>
  <w:num w:numId="17">
    <w:abstractNumId w:val="14"/>
  </w:num>
  <w:num w:numId="18">
    <w:abstractNumId w:val="0"/>
  </w:num>
  <w:num w:numId="19">
    <w:abstractNumId w:val="37"/>
  </w:num>
  <w:num w:numId="20">
    <w:abstractNumId w:val="29"/>
  </w:num>
  <w:num w:numId="21">
    <w:abstractNumId w:val="30"/>
  </w:num>
  <w:num w:numId="22">
    <w:abstractNumId w:val="7"/>
  </w:num>
  <w:num w:numId="23">
    <w:abstractNumId w:val="33"/>
  </w:num>
  <w:num w:numId="24">
    <w:abstractNumId w:val="6"/>
  </w:num>
  <w:num w:numId="25">
    <w:abstractNumId w:val="38"/>
  </w:num>
  <w:num w:numId="26">
    <w:abstractNumId w:val="36"/>
  </w:num>
  <w:num w:numId="27">
    <w:abstractNumId w:val="9"/>
  </w:num>
  <w:num w:numId="28">
    <w:abstractNumId w:val="20"/>
  </w:num>
  <w:num w:numId="29">
    <w:abstractNumId w:val="34"/>
  </w:num>
  <w:num w:numId="30">
    <w:abstractNumId w:val="15"/>
  </w:num>
  <w:num w:numId="31">
    <w:abstractNumId w:val="28"/>
  </w:num>
  <w:num w:numId="32">
    <w:abstractNumId w:val="16"/>
  </w:num>
  <w:num w:numId="33">
    <w:abstractNumId w:val="35"/>
  </w:num>
  <w:num w:numId="34">
    <w:abstractNumId w:val="1"/>
  </w:num>
  <w:num w:numId="35">
    <w:abstractNumId w:val="25"/>
  </w:num>
  <w:num w:numId="36">
    <w:abstractNumId w:val="22"/>
  </w:num>
  <w:num w:numId="37">
    <w:abstractNumId w:val="10"/>
  </w:num>
  <w:num w:numId="38">
    <w:abstractNumId w:val="23"/>
  </w:num>
  <w:num w:numId="39">
    <w:abstractNumId w:val="32"/>
  </w:num>
  <w:num w:numId="40">
    <w:abstractNumId w:val="18"/>
  </w:num>
  <w:num w:numId="41">
    <w:abstractNumId w:val="4"/>
  </w:num>
  <w:num w:numId="42">
    <w:abstractNumId w:val="31"/>
  </w:num>
  <w:num w:numId="43">
    <w:abstractNumId w:val="24"/>
  </w:num>
  <w:num w:numId="44">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08"/>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Calibri" w:hAnsi="Calibri" w:eastAsia="Calibri" w:cs="Times New Roman"/>
        <w:lang w:val="ru-RU" w:eastAsia="zh-CN" w:bidi="ar-SA"/>
      </w:rPr>
    </w:rPrDefault>
    <w:pPrDefaul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756">
    <w:name w:val="Heading 1"/>
    <w:basedOn w:val="934"/>
    <w:next w:val="934"/>
    <w:link w:val="757"/>
    <w:uiPriority w:val="9"/>
    <w:qFormat/>
    <w:pPr>
      <w:keepLines/>
      <w:keepNext/>
      <w:spacing w:before="480" w:after="200"/>
      <w:outlineLvl w:val="0"/>
    </w:pPr>
    <w:rPr>
      <w:rFonts w:ascii="Arial" w:hAnsi="Arial" w:eastAsia="Arial" w:cs="Arial"/>
      <w:sz w:val="40"/>
      <w:szCs w:val="40"/>
    </w:rPr>
  </w:style>
  <w:style w:type="character" w:styleId="757">
    <w:name w:val="Heading 1 Char"/>
    <w:link w:val="756"/>
    <w:uiPriority w:val="9"/>
    <w:rPr>
      <w:rFonts w:ascii="Arial" w:hAnsi="Arial" w:eastAsia="Arial" w:cs="Arial"/>
      <w:sz w:val="40"/>
      <w:szCs w:val="40"/>
    </w:rPr>
  </w:style>
  <w:style w:type="paragraph" w:styleId="758">
    <w:name w:val="Heading 2"/>
    <w:basedOn w:val="934"/>
    <w:next w:val="934"/>
    <w:link w:val="759"/>
    <w:uiPriority w:val="9"/>
    <w:unhideWhenUsed/>
    <w:qFormat/>
    <w:pPr>
      <w:keepLines/>
      <w:keepNext/>
      <w:spacing w:before="360" w:after="200"/>
      <w:outlineLvl w:val="1"/>
    </w:pPr>
    <w:rPr>
      <w:rFonts w:ascii="Arial" w:hAnsi="Arial" w:eastAsia="Arial" w:cs="Arial"/>
      <w:sz w:val="34"/>
    </w:rPr>
  </w:style>
  <w:style w:type="character" w:styleId="759">
    <w:name w:val="Heading 2 Char"/>
    <w:link w:val="758"/>
    <w:uiPriority w:val="9"/>
    <w:rPr>
      <w:rFonts w:ascii="Arial" w:hAnsi="Arial" w:eastAsia="Arial" w:cs="Arial"/>
      <w:sz w:val="34"/>
    </w:rPr>
  </w:style>
  <w:style w:type="paragraph" w:styleId="760">
    <w:name w:val="Heading 3"/>
    <w:basedOn w:val="934"/>
    <w:next w:val="934"/>
    <w:link w:val="761"/>
    <w:uiPriority w:val="9"/>
    <w:unhideWhenUsed/>
    <w:qFormat/>
    <w:pPr>
      <w:keepLines/>
      <w:keepNext/>
      <w:spacing w:before="320" w:after="200"/>
      <w:outlineLvl w:val="2"/>
    </w:pPr>
    <w:rPr>
      <w:rFonts w:ascii="Arial" w:hAnsi="Arial" w:eastAsia="Arial" w:cs="Arial"/>
      <w:sz w:val="30"/>
      <w:szCs w:val="30"/>
    </w:rPr>
  </w:style>
  <w:style w:type="character" w:styleId="761">
    <w:name w:val="Heading 3 Char"/>
    <w:link w:val="760"/>
    <w:uiPriority w:val="9"/>
    <w:rPr>
      <w:rFonts w:ascii="Arial" w:hAnsi="Arial" w:eastAsia="Arial" w:cs="Arial"/>
      <w:sz w:val="30"/>
      <w:szCs w:val="30"/>
    </w:rPr>
  </w:style>
  <w:style w:type="paragraph" w:styleId="762">
    <w:name w:val="Heading 4"/>
    <w:basedOn w:val="934"/>
    <w:next w:val="934"/>
    <w:link w:val="763"/>
    <w:uiPriority w:val="9"/>
    <w:unhideWhenUsed/>
    <w:qFormat/>
    <w:pPr>
      <w:keepLines/>
      <w:keepNext/>
      <w:spacing w:before="320" w:after="200"/>
      <w:outlineLvl w:val="3"/>
    </w:pPr>
    <w:rPr>
      <w:rFonts w:ascii="Arial" w:hAnsi="Arial" w:eastAsia="Arial" w:cs="Arial"/>
      <w:b/>
      <w:bCs/>
      <w:sz w:val="26"/>
      <w:szCs w:val="26"/>
    </w:rPr>
  </w:style>
  <w:style w:type="character" w:styleId="763">
    <w:name w:val="Heading 4 Char"/>
    <w:link w:val="762"/>
    <w:uiPriority w:val="9"/>
    <w:rPr>
      <w:rFonts w:ascii="Arial" w:hAnsi="Arial" w:eastAsia="Arial" w:cs="Arial"/>
      <w:b/>
      <w:bCs/>
      <w:sz w:val="26"/>
      <w:szCs w:val="26"/>
    </w:rPr>
  </w:style>
  <w:style w:type="paragraph" w:styleId="764">
    <w:name w:val="Heading 5"/>
    <w:basedOn w:val="934"/>
    <w:next w:val="934"/>
    <w:link w:val="765"/>
    <w:uiPriority w:val="9"/>
    <w:unhideWhenUsed/>
    <w:qFormat/>
    <w:pPr>
      <w:keepLines/>
      <w:keepNext/>
      <w:spacing w:before="320" w:after="200"/>
      <w:outlineLvl w:val="4"/>
    </w:pPr>
    <w:rPr>
      <w:rFonts w:ascii="Arial" w:hAnsi="Arial" w:eastAsia="Arial" w:cs="Arial"/>
      <w:b/>
      <w:bCs/>
      <w:sz w:val="24"/>
      <w:szCs w:val="24"/>
    </w:rPr>
  </w:style>
  <w:style w:type="character" w:styleId="765">
    <w:name w:val="Heading 5 Char"/>
    <w:link w:val="764"/>
    <w:uiPriority w:val="9"/>
    <w:rPr>
      <w:rFonts w:ascii="Arial" w:hAnsi="Arial" w:eastAsia="Arial" w:cs="Arial"/>
      <w:b/>
      <w:bCs/>
      <w:sz w:val="24"/>
      <w:szCs w:val="24"/>
    </w:rPr>
  </w:style>
  <w:style w:type="paragraph" w:styleId="766">
    <w:name w:val="Heading 6"/>
    <w:basedOn w:val="934"/>
    <w:next w:val="934"/>
    <w:link w:val="767"/>
    <w:uiPriority w:val="9"/>
    <w:unhideWhenUsed/>
    <w:qFormat/>
    <w:pPr>
      <w:keepLines/>
      <w:keepNext/>
      <w:spacing w:before="320" w:after="200"/>
      <w:outlineLvl w:val="5"/>
    </w:pPr>
    <w:rPr>
      <w:rFonts w:ascii="Arial" w:hAnsi="Arial" w:eastAsia="Arial" w:cs="Arial"/>
      <w:b/>
      <w:bCs/>
      <w:sz w:val="22"/>
      <w:szCs w:val="22"/>
    </w:rPr>
  </w:style>
  <w:style w:type="character" w:styleId="767">
    <w:name w:val="Heading 6 Char"/>
    <w:link w:val="766"/>
    <w:uiPriority w:val="9"/>
    <w:rPr>
      <w:rFonts w:ascii="Arial" w:hAnsi="Arial" w:eastAsia="Arial" w:cs="Arial"/>
      <w:b/>
      <w:bCs/>
      <w:sz w:val="22"/>
      <w:szCs w:val="22"/>
    </w:rPr>
  </w:style>
  <w:style w:type="paragraph" w:styleId="768">
    <w:name w:val="Heading 7"/>
    <w:basedOn w:val="934"/>
    <w:next w:val="934"/>
    <w:link w:val="769"/>
    <w:uiPriority w:val="9"/>
    <w:unhideWhenUsed/>
    <w:qFormat/>
    <w:pPr>
      <w:keepLines/>
      <w:keepNext/>
      <w:spacing w:before="320" w:after="200"/>
      <w:outlineLvl w:val="6"/>
    </w:pPr>
    <w:rPr>
      <w:rFonts w:ascii="Arial" w:hAnsi="Arial" w:eastAsia="Arial" w:cs="Arial"/>
      <w:b/>
      <w:bCs/>
      <w:i/>
      <w:iCs/>
      <w:sz w:val="22"/>
      <w:szCs w:val="22"/>
    </w:rPr>
  </w:style>
  <w:style w:type="character" w:styleId="769">
    <w:name w:val="Heading 7 Char"/>
    <w:link w:val="768"/>
    <w:uiPriority w:val="9"/>
    <w:rPr>
      <w:rFonts w:ascii="Arial" w:hAnsi="Arial" w:eastAsia="Arial" w:cs="Arial"/>
      <w:b/>
      <w:bCs/>
      <w:i/>
      <w:iCs/>
      <w:sz w:val="22"/>
      <w:szCs w:val="22"/>
    </w:rPr>
  </w:style>
  <w:style w:type="paragraph" w:styleId="770">
    <w:name w:val="Heading 8"/>
    <w:basedOn w:val="934"/>
    <w:next w:val="934"/>
    <w:link w:val="771"/>
    <w:uiPriority w:val="9"/>
    <w:unhideWhenUsed/>
    <w:qFormat/>
    <w:pPr>
      <w:keepLines/>
      <w:keepNext/>
      <w:spacing w:before="320" w:after="200"/>
      <w:outlineLvl w:val="7"/>
    </w:pPr>
    <w:rPr>
      <w:rFonts w:ascii="Arial" w:hAnsi="Arial" w:eastAsia="Arial" w:cs="Arial"/>
      <w:i/>
      <w:iCs/>
      <w:sz w:val="22"/>
      <w:szCs w:val="22"/>
    </w:rPr>
  </w:style>
  <w:style w:type="character" w:styleId="771">
    <w:name w:val="Heading 8 Char"/>
    <w:link w:val="770"/>
    <w:uiPriority w:val="9"/>
    <w:rPr>
      <w:rFonts w:ascii="Arial" w:hAnsi="Arial" w:eastAsia="Arial" w:cs="Arial"/>
      <w:i/>
      <w:iCs/>
      <w:sz w:val="22"/>
      <w:szCs w:val="22"/>
    </w:rPr>
  </w:style>
  <w:style w:type="paragraph" w:styleId="772">
    <w:name w:val="Heading 9"/>
    <w:basedOn w:val="934"/>
    <w:next w:val="934"/>
    <w:link w:val="773"/>
    <w:uiPriority w:val="9"/>
    <w:unhideWhenUsed/>
    <w:qFormat/>
    <w:pPr>
      <w:keepLines/>
      <w:keepNext/>
      <w:spacing w:before="320" w:after="200"/>
      <w:outlineLvl w:val="8"/>
    </w:pPr>
    <w:rPr>
      <w:rFonts w:ascii="Arial" w:hAnsi="Arial" w:eastAsia="Arial" w:cs="Arial"/>
      <w:i/>
      <w:iCs/>
      <w:sz w:val="21"/>
      <w:szCs w:val="21"/>
    </w:rPr>
  </w:style>
  <w:style w:type="character" w:styleId="773">
    <w:name w:val="Heading 9 Char"/>
    <w:link w:val="772"/>
    <w:uiPriority w:val="9"/>
    <w:rPr>
      <w:rFonts w:ascii="Arial" w:hAnsi="Arial" w:eastAsia="Arial" w:cs="Arial"/>
      <w:i/>
      <w:iCs/>
      <w:sz w:val="21"/>
      <w:szCs w:val="21"/>
    </w:rPr>
  </w:style>
  <w:style w:type="paragraph" w:styleId="774">
    <w:name w:val="List Paragraph"/>
    <w:basedOn w:val="934"/>
    <w:uiPriority w:val="34"/>
    <w:qFormat/>
    <w:pPr>
      <w:contextualSpacing/>
      <w:ind w:left="720"/>
    </w:pPr>
  </w:style>
  <w:style w:type="paragraph" w:styleId="775">
    <w:name w:val="No Spacing"/>
    <w:uiPriority w:val="1"/>
    <w:qFormat/>
    <w:pPr>
      <w:spacing w:before="0" w:after="0" w:line="240" w:lineRule="auto"/>
    </w:pPr>
  </w:style>
  <w:style w:type="paragraph" w:styleId="776">
    <w:name w:val="Title"/>
    <w:basedOn w:val="934"/>
    <w:next w:val="934"/>
    <w:link w:val="777"/>
    <w:uiPriority w:val="10"/>
    <w:qFormat/>
    <w:pPr>
      <w:contextualSpacing/>
      <w:spacing w:before="300" w:after="200"/>
    </w:pPr>
    <w:rPr>
      <w:sz w:val="48"/>
      <w:szCs w:val="48"/>
    </w:rPr>
  </w:style>
  <w:style w:type="character" w:styleId="777">
    <w:name w:val="Title Char"/>
    <w:link w:val="776"/>
    <w:uiPriority w:val="10"/>
    <w:rPr>
      <w:sz w:val="48"/>
      <w:szCs w:val="48"/>
    </w:rPr>
  </w:style>
  <w:style w:type="paragraph" w:styleId="778">
    <w:name w:val="Subtitle"/>
    <w:basedOn w:val="934"/>
    <w:next w:val="934"/>
    <w:link w:val="779"/>
    <w:uiPriority w:val="11"/>
    <w:qFormat/>
    <w:pPr>
      <w:spacing w:before="200" w:after="200"/>
    </w:pPr>
    <w:rPr>
      <w:sz w:val="24"/>
      <w:szCs w:val="24"/>
    </w:rPr>
  </w:style>
  <w:style w:type="character" w:styleId="779">
    <w:name w:val="Subtitle Char"/>
    <w:link w:val="778"/>
    <w:uiPriority w:val="11"/>
    <w:rPr>
      <w:sz w:val="24"/>
      <w:szCs w:val="24"/>
    </w:rPr>
  </w:style>
  <w:style w:type="paragraph" w:styleId="780">
    <w:name w:val="Quote"/>
    <w:basedOn w:val="934"/>
    <w:next w:val="934"/>
    <w:link w:val="781"/>
    <w:uiPriority w:val="29"/>
    <w:qFormat/>
    <w:pPr>
      <w:ind w:left="720" w:right="720"/>
    </w:pPr>
    <w:rPr>
      <w:i/>
    </w:rPr>
  </w:style>
  <w:style w:type="character" w:styleId="781">
    <w:name w:val="Quote Char"/>
    <w:link w:val="780"/>
    <w:uiPriority w:val="29"/>
    <w:rPr>
      <w:i/>
    </w:rPr>
  </w:style>
  <w:style w:type="paragraph" w:styleId="782">
    <w:name w:val="Intense Quote"/>
    <w:basedOn w:val="934"/>
    <w:next w:val="934"/>
    <w:link w:val="783"/>
    <w:uiPriority w:val="30"/>
    <w:qFormat/>
    <w:pPr>
      <w:contextualSpacing w:val="0"/>
      <w:ind w:left="720" w:right="720"/>
      <w:shd w:val="clear" w:color="auto" w:fill="f2f2f2"/>
      <w:pBdr>
        <w:top w:val="single" w:color="FFFFFF" w:sz="4" w:space="5"/>
        <w:left w:val="single" w:color="FFFFFF" w:sz="4" w:space="10"/>
        <w:bottom w:val="single" w:color="FFFFFF" w:sz="4" w:space="5"/>
        <w:right w:val="single" w:color="FFFFFF" w:sz="4" w:space="10"/>
      </w:pBdr>
    </w:pPr>
    <w:rPr>
      <w:i/>
    </w:rPr>
  </w:style>
  <w:style w:type="character" w:styleId="783">
    <w:name w:val="Intense Quote Char"/>
    <w:link w:val="782"/>
    <w:uiPriority w:val="30"/>
    <w:rPr>
      <w:i/>
    </w:rPr>
  </w:style>
  <w:style w:type="paragraph" w:styleId="784">
    <w:name w:val="Header"/>
    <w:basedOn w:val="934"/>
    <w:link w:val="785"/>
    <w:uiPriority w:val="99"/>
    <w:unhideWhenUsed/>
    <w:pPr>
      <w:spacing w:after="0" w:line="240" w:lineRule="auto"/>
      <w:tabs>
        <w:tab w:val="center" w:pos="7143" w:leader="none"/>
        <w:tab w:val="right" w:pos="14287" w:leader="none"/>
      </w:tabs>
    </w:pPr>
  </w:style>
  <w:style w:type="character" w:styleId="785">
    <w:name w:val="Header Char"/>
    <w:link w:val="784"/>
    <w:uiPriority w:val="99"/>
  </w:style>
  <w:style w:type="paragraph" w:styleId="786">
    <w:name w:val="Footer"/>
    <w:basedOn w:val="934"/>
    <w:link w:val="787"/>
    <w:uiPriority w:val="99"/>
    <w:unhideWhenUsed/>
    <w:pPr>
      <w:spacing w:after="0" w:line="240" w:lineRule="auto"/>
      <w:tabs>
        <w:tab w:val="center" w:pos="7143" w:leader="none"/>
        <w:tab w:val="right" w:pos="14287" w:leader="none"/>
      </w:tabs>
    </w:pPr>
  </w:style>
  <w:style w:type="character" w:styleId="787">
    <w:name w:val="Footer Char"/>
    <w:link w:val="786"/>
    <w:uiPriority w:val="99"/>
  </w:style>
  <w:style w:type="paragraph" w:styleId="788">
    <w:name w:val="Caption"/>
    <w:basedOn w:val="934"/>
    <w:next w:val="934"/>
    <w:link w:val="789"/>
    <w:uiPriority w:val="35"/>
    <w:semiHidden/>
    <w:unhideWhenUsed/>
    <w:qFormat/>
    <w:pPr>
      <w:spacing w:line="276" w:lineRule="auto"/>
    </w:pPr>
    <w:rPr>
      <w:b/>
      <w:bCs/>
      <w:color w:val="4f81bd" w:themeColor="accent1"/>
      <w:sz w:val="18"/>
      <w:szCs w:val="18"/>
    </w:rPr>
  </w:style>
  <w:style w:type="character" w:styleId="789">
    <w:name w:val="Caption Char"/>
    <w:link w:val="788"/>
    <w:uiPriority w:val="35"/>
    <w:rPr>
      <w:b/>
      <w:bCs/>
      <w:color w:val="4f81bd" w:themeColor="accent1"/>
      <w:sz w:val="18"/>
      <w:szCs w:val="18"/>
    </w:rPr>
  </w:style>
  <w:style w:type="table" w:styleId="790">
    <w:name w:val="Table Grid"/>
    <w:uiPriority w:val="59"/>
    <w:pPr>
      <w:spacing w:after="0" w:line="240" w:lineRule="auto"/>
    </w:pPr>
    <w:tblP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left w:w="108" w:type="dxa"/>
        <w:top w:w="0" w:type="dxa"/>
        <w:right w:w="108" w:type="dxa"/>
        <w:bottom w:w="0" w:type="dxa"/>
      </w:tblCellMar>
    </w:tblPr>
  </w:style>
  <w:style w:type="table" w:styleId="791">
    <w:name w:val="Table Grid Light"/>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style>
  <w:style w:type="table" w:styleId="792">
    <w:name w:val="Plain Table 1"/>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blStylePr w:type="band1Horz">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firstCol">
      <w:rPr>
        <w:rFonts w:ascii="Arial" w:hAnsi="Arial"/>
        <w:b/>
        <w:color w:val="404040"/>
        <w:sz w:val="22"/>
      </w:rPr>
    </w:tblStylePr>
    <w:tblStylePr w:type="firstRow">
      <w:rPr>
        <w:rFonts w:ascii="Arial" w:hAnsi="Arial"/>
        <w:b/>
        <w:color w:val="404040"/>
        <w:sz w:val="22"/>
      </w:rPr>
    </w:tblStylePr>
    <w:tblStylePr w:type="lastCol">
      <w:rPr>
        <w:rFonts w:ascii="Arial" w:hAnsi="Arial"/>
        <w:b/>
        <w:color w:val="404040"/>
        <w:sz w:val="22"/>
      </w:rPr>
    </w:tblStylePr>
    <w:tblStylePr w:type="lastRow">
      <w:rPr>
        <w:rFonts w:ascii="Arial" w:hAnsi="Arial"/>
        <w:b/>
        <w:color w:val="404040"/>
        <w:sz w:val="22"/>
      </w:rPr>
    </w:tblStylePr>
  </w:style>
  <w:style w:type="table" w:styleId="793">
    <w:name w:val="Plain Table 2"/>
    <w:uiPriority w:val="59"/>
    <w:pPr>
      <w:spacing w:after="0" w:line="240" w:lineRule="auto"/>
    </w:pPr>
    <w:tblPr>
      <w:tblInd w:w="0" w:type="dxa"/>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blStylePr w:type="band1Horz">
      <w:tcPr>
        <w:tcBorders>
          <w:top w:val="single" w:color="000000" w:themeColor="text1" w:sz="4" w:space="0"/>
          <w:bottom w:val="single" w:color="000000" w:themeColor="text1" w:sz="4" w:space="0"/>
        </w:tcBorders>
      </w:tc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Col">
      <w:rPr>
        <w:rFonts w:ascii="Arial" w:hAnsi="Arial"/>
        <w:b/>
        <w:color w:val="404040"/>
        <w:sz w:val="22"/>
      </w:rPr>
    </w:tblStylePr>
    <w:tblStylePr w:type="lastRow">
      <w:rPr>
        <w:rFonts w:ascii="Arial" w:hAnsi="Arial"/>
        <w:b/>
        <w:color w:val="404040"/>
        <w:sz w:val="22"/>
      </w:rPr>
    </w:tblStylePr>
  </w:style>
  <w:style w:type="table" w:styleId="794">
    <w:name w:val="Plain Table 3"/>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aps/>
        <w:color w:val="404040"/>
      </w:r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tblStylePr>
    <w:tblStylePr w:type="lastRow">
      <w:rPr>
        <w:b/>
        <w:caps/>
        <w:color w:val="404040"/>
      </w:rPr>
    </w:tblStylePr>
  </w:style>
  <w:style w:type="table" w:styleId="795">
    <w:name w:val="Plain Table 4"/>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style>
  <w:style w:type="table" w:styleId="796">
    <w:name w:val="Plain Table 5"/>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i/>
        <w:color w:val="404040"/>
      </w:rPr>
      <w:pPr>
        <w:jc w:val="right"/>
      </w:pPr>
      <w:tcPr>
        <w:shd w:val="clear" w:color="ffffff"/>
        <w:tcBorders>
          <w:right w:val="single" w:color="404040" w:sz="4" w:space="0"/>
        </w:tcBorders>
      </w:tcPr>
    </w:tblStylePr>
    <w:tblStylePr w:type="firstRow">
      <w:rPr>
        <w:i/>
        <w:color w:val="404040"/>
      </w:rPr>
      <w:tcPr>
        <w:shd w:val="clear" w:color="ffffff"/>
        <w:tcBorders>
          <w:left w:val="none" w:color="000000" w:sz="4" w:space="0"/>
          <w:bottom w:val="single" w:color="404040" w:sz="4" w:space="0"/>
          <w:right w:val="none" w:color="000000" w:sz="4" w:space="0"/>
        </w:tcBorders>
      </w:tcPr>
    </w:tblStylePr>
    <w:tblStylePr w:type="lastCol">
      <w:rPr>
        <w:i/>
        <w:color w:val="404040"/>
      </w:rPr>
      <w:tcPr>
        <w:shd w:val="clear" w:color="ffffff"/>
        <w:tcBorders>
          <w:left w:val="single" w:color="404040" w:sz="4" w:space="0"/>
        </w:tcBorders>
      </w:tcPr>
    </w:tblStylePr>
    <w:tblStylePr w:type="lastRow">
      <w:rPr>
        <w:i/>
        <w:color w:val="404040"/>
      </w:rPr>
      <w:tcPr>
        <w:shd w:val="clear" w:color="ffffff"/>
        <w:tcBorders>
          <w:top w:val="single" w:color="404040" w:sz="4" w:space="0"/>
          <w:left w:val="none" w:color="000000" w:sz="4" w:space="0"/>
          <w:right w:val="none" w:color="000000" w:sz="4" w:space="0"/>
        </w:tcBorders>
      </w:tcPr>
    </w:tblStylePr>
  </w:style>
  <w:style w:type="table" w:styleId="797">
    <w:name w:val="Grid Table 1 Light"/>
    <w:uiPriority w:val="99"/>
    <w:pPr>
      <w:spacing w:after="0" w:line="240" w:lineRule="auto"/>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blStylePr w:type="band1Horz">
      <w:rPr>
        <w:rFonts w:ascii="Arial" w:hAnsi="Arial"/>
        <w:color w:val="404040"/>
        <w:sz w:val="22"/>
      </w:r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firstCol">
      <w:rPr>
        <w:b/>
        <w:color w:val="404040"/>
      </w:rPr>
    </w:tblStylePr>
    <w:tblStylePr w:type="firstRow">
      <w:rPr>
        <w:b/>
        <w:color w:val="404040"/>
      </w:rPr>
      <w:tcPr>
        <w:tcBorders>
          <w:bottom w:val="single" w:color="000000" w:themeColor="text1" w:themeTint="95" w:sz="12" w:space="0"/>
        </w:tcBorders>
      </w:tcPr>
    </w:tblStylePr>
    <w:tblStylePr w:type="lastCol">
      <w:rPr>
        <w:b/>
        <w:color w:val="404040"/>
      </w:rPr>
    </w:tblStylePr>
    <w:tblStylePr w:type="lastRow">
      <w:rPr>
        <w:b/>
        <w:color w:val="404040"/>
      </w:rPr>
    </w:tblStylePr>
  </w:style>
  <w:style w:type="table" w:styleId="798">
    <w:name w:val="Grid Table 1 Light - Accent 1"/>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b/>
        <w:color w:val="404040"/>
      </w:rPr>
    </w:tblStylePr>
    <w:tblStylePr w:type="firstRow">
      <w:rPr>
        <w:b/>
        <w:color w:val="404040"/>
      </w:rPr>
      <w:tcPr>
        <w:tcBorders>
          <w:bottom w:val="single" w:color="000000" w:themeColor="accent1" w:themeTint="95" w:sz="12" w:space="0"/>
        </w:tcBorders>
      </w:tcPr>
    </w:tblStylePr>
    <w:tblStylePr w:type="lastCol">
      <w:rPr>
        <w:b/>
        <w:color w:val="404040"/>
      </w:rPr>
    </w:tblStylePr>
    <w:tblStylePr w:type="lastRow">
      <w:rPr>
        <w:b/>
        <w:color w:val="404040"/>
      </w:rPr>
    </w:tblStylePr>
  </w:style>
  <w:style w:type="table" w:styleId="799">
    <w:name w:val="Grid Table 1 Light - Accent 2"/>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b/>
        <w:color w:val="404040"/>
      </w:rPr>
    </w:tblStylePr>
    <w:tblStylePr w:type="firstRow">
      <w:rPr>
        <w:b/>
        <w:color w:val="404040"/>
      </w:rPr>
      <w:tcPr>
        <w:tcBorders>
          <w:bottom w:val="single" w:color="000000" w:themeColor="accent2" w:themeTint="95" w:sz="12" w:space="0"/>
        </w:tcBorders>
      </w:tcPr>
    </w:tblStylePr>
    <w:tblStylePr w:type="lastCol">
      <w:rPr>
        <w:b/>
        <w:color w:val="404040"/>
      </w:rPr>
    </w:tblStylePr>
    <w:tblStylePr w:type="lastRow">
      <w:rPr>
        <w:b/>
        <w:color w:val="404040"/>
      </w:rPr>
    </w:tblStylePr>
  </w:style>
  <w:style w:type="table" w:styleId="800">
    <w:name w:val="Grid Table 1 Light - Accent 3"/>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b/>
        <w:color w:val="404040"/>
      </w:rPr>
    </w:tblStylePr>
    <w:tblStylePr w:type="firstRow">
      <w:rPr>
        <w:b/>
        <w:color w:val="404040"/>
      </w:rPr>
      <w:tcPr>
        <w:tcBorders>
          <w:bottom w:val="single" w:color="000000" w:themeColor="accent3" w:themeTint="95" w:sz="12" w:space="0"/>
        </w:tcBorders>
      </w:tcPr>
    </w:tblStylePr>
    <w:tblStylePr w:type="lastCol">
      <w:rPr>
        <w:b/>
        <w:color w:val="404040"/>
      </w:rPr>
    </w:tblStylePr>
    <w:tblStylePr w:type="lastRow">
      <w:rPr>
        <w:b/>
        <w:color w:val="404040"/>
      </w:rPr>
    </w:tblStylePr>
  </w:style>
  <w:style w:type="table" w:styleId="801">
    <w:name w:val="Grid Table 1 Light - Accent 4"/>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b/>
        <w:color w:val="404040"/>
      </w:rPr>
    </w:tblStylePr>
    <w:tblStylePr w:type="firstRow">
      <w:rPr>
        <w:b/>
        <w:color w:val="404040"/>
      </w:rPr>
      <w:tcPr>
        <w:tcBorders>
          <w:bottom w:val="single" w:color="000000" w:themeColor="accent4" w:themeTint="95" w:sz="12" w:space="0"/>
        </w:tcBorders>
      </w:tcPr>
    </w:tblStylePr>
    <w:tblStylePr w:type="lastCol">
      <w:rPr>
        <w:b/>
        <w:color w:val="404040"/>
      </w:rPr>
    </w:tblStylePr>
    <w:tblStylePr w:type="lastRow">
      <w:rPr>
        <w:b/>
        <w:color w:val="404040"/>
      </w:rPr>
    </w:tblStylePr>
  </w:style>
  <w:style w:type="table" w:styleId="802">
    <w:name w:val="Grid Table 1 Light - Accent 5"/>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b/>
        <w:color w:val="404040"/>
      </w:rPr>
    </w:tblStylePr>
    <w:tblStylePr w:type="firstRow">
      <w:rPr>
        <w:b/>
        <w:color w:val="404040"/>
      </w:rPr>
      <w:tcPr>
        <w:tcBorders>
          <w:bottom w:val="single" w:color="000000" w:themeColor="accent5" w:themeTint="95" w:sz="12" w:space="0"/>
        </w:tcBorders>
      </w:tcPr>
    </w:tblStylePr>
    <w:tblStylePr w:type="lastCol">
      <w:rPr>
        <w:b/>
        <w:color w:val="404040"/>
      </w:rPr>
    </w:tblStylePr>
    <w:tblStylePr w:type="lastRow">
      <w:rPr>
        <w:b/>
        <w:color w:val="404040"/>
      </w:rPr>
    </w:tblStylePr>
  </w:style>
  <w:style w:type="table" w:styleId="803">
    <w:name w:val="Grid Table 1 Light - Accent 6"/>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b/>
        <w:color w:val="404040"/>
      </w:rPr>
    </w:tblStylePr>
    <w:tblStylePr w:type="firstRow">
      <w:rPr>
        <w:b/>
        <w:color w:val="404040"/>
      </w:rPr>
      <w:tcPr>
        <w:tcBorders>
          <w:bottom w:val="single" w:color="000000" w:themeColor="accent6" w:themeTint="95" w:sz="12" w:space="0"/>
        </w:tcBorders>
      </w:tcPr>
    </w:tblStylePr>
    <w:tblStylePr w:type="lastCol">
      <w:rPr>
        <w:b/>
        <w:color w:val="404040"/>
      </w:rPr>
    </w:tblStylePr>
    <w:tblStylePr w:type="lastRow">
      <w:rPr>
        <w:b/>
        <w:color w:val="404040"/>
      </w:rPr>
    </w:tblStylePr>
  </w:style>
  <w:style w:type="table" w:styleId="804">
    <w:name w:val="Grid Table 2"/>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text1" w:themeTint="95" w:sz="4" w:space="0"/>
          <w:left w:val="none" w:color="000000" w:sz="4" w:space="0"/>
          <w:bottom w:val="none" w:color="000000" w:sz="4" w:space="0"/>
          <w:right w:val="none" w:color="000000" w:sz="4" w:space="0"/>
        </w:tcBorders>
      </w:tcPr>
    </w:tblStylePr>
  </w:style>
  <w:style w:type="table" w:styleId="805">
    <w:name w:val="Grid Table 2 - Accent 1"/>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ae5f1" w:themeFill="accent1" w:themeFillTint="34"/>
      </w:tcPr>
    </w:tblStylePr>
    <w:tblStylePr w:type="band1Vert">
      <w:rPr>
        <w:rFonts w:ascii="Arial" w:hAnsi="Arial"/>
        <w:color w:val="404040"/>
        <w:sz w:val="22"/>
      </w:rPr>
      <w:tcPr>
        <w:shd w:val="clear" w:color="ffffff" w:themeColor="accent1" w:themeTint="34" w:fill="dae5f1" w:themeFill="accen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1" w:themeTint="EA" w:sz="4" w:space="0"/>
          <w:left w:val="none" w:color="000000" w:sz="4" w:space="0"/>
          <w:bottom w:val="none" w:color="000000" w:sz="4" w:space="0"/>
          <w:right w:val="none" w:color="000000" w:sz="4" w:space="0"/>
        </w:tcBorders>
      </w:tcPr>
    </w:tblStylePr>
  </w:style>
  <w:style w:type="table" w:styleId="806">
    <w:name w:val="Grid Table 2 - Accent 2"/>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2dcdb" w:themeFill="accent2" w:themeFillTint="32"/>
      </w:tcPr>
    </w:tblStylePr>
    <w:tblStylePr w:type="band1Vert">
      <w:rPr>
        <w:rFonts w:ascii="Arial" w:hAnsi="Arial"/>
        <w:color w:val="404040"/>
        <w:sz w:val="22"/>
      </w:rPr>
      <w:tcPr>
        <w:shd w:val="clear" w:color="ffffff" w:themeColor="accent2" w:themeTint="32" w:fill="f2dcdb" w:themeFill="accent2" w:themeFillTint="32"/>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2" w:themeTint="97" w:sz="4" w:space="0"/>
          <w:left w:val="none" w:color="000000" w:sz="4" w:space="0"/>
          <w:bottom w:val="none" w:color="000000" w:sz="4" w:space="0"/>
          <w:right w:val="none" w:color="000000" w:sz="4" w:space="0"/>
        </w:tcBorders>
      </w:tcPr>
    </w:tblStylePr>
  </w:style>
  <w:style w:type="table" w:styleId="807">
    <w:name w:val="Grid Table 2 - Accent 3"/>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af0dd" w:themeFill="accent3" w:themeFillTint="34"/>
      </w:tcPr>
    </w:tblStylePr>
    <w:tblStylePr w:type="band1Vert">
      <w:rPr>
        <w:rFonts w:ascii="Arial" w:hAnsi="Arial"/>
        <w:color w:val="404040"/>
        <w:sz w:val="22"/>
      </w:rPr>
      <w:tcPr>
        <w:shd w:val="clear" w:color="ffffff" w:themeColor="accent3" w:themeTint="34" w:fill="eaf0dd" w:themeFill="accent3"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3" w:themeTint="FE" w:sz="4" w:space="0"/>
          <w:left w:val="none" w:color="000000" w:sz="4" w:space="0"/>
          <w:bottom w:val="none" w:color="000000" w:sz="4" w:space="0"/>
          <w:right w:val="none" w:color="000000" w:sz="4" w:space="0"/>
        </w:tcBorders>
      </w:tcPr>
    </w:tblStylePr>
  </w:style>
  <w:style w:type="table" w:styleId="808">
    <w:name w:val="Grid Table 2 - Accent 4"/>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e5dfec" w:themeFill="accent4" w:themeFillTint="34"/>
      </w:tcPr>
    </w:tblStylePr>
    <w:tblStylePr w:type="band1Vert">
      <w:rPr>
        <w:rFonts w:ascii="Arial" w:hAnsi="Arial"/>
        <w:color w:val="404040"/>
        <w:sz w:val="22"/>
      </w:rPr>
      <w:tcPr>
        <w:shd w:val="clear" w:color="ffffff" w:themeColor="accent4" w:themeTint="34" w:fill="e5dfec" w:themeFill="accent4"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4" w:themeTint="9A" w:sz="4" w:space="0"/>
          <w:left w:val="none" w:color="000000" w:sz="4" w:space="0"/>
          <w:bottom w:val="none" w:color="000000" w:sz="4" w:space="0"/>
          <w:right w:val="none" w:color="000000" w:sz="4" w:space="0"/>
        </w:tcBorders>
      </w:tcPr>
    </w:tblStylePr>
  </w:style>
  <w:style w:type="table" w:styleId="809">
    <w:name w:val="Grid Table 2 - Accent 5"/>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aeef3" w:themeFill="accent5" w:themeFillTint="34"/>
      </w:tcPr>
    </w:tblStylePr>
    <w:tblStylePr w:type="band1Vert">
      <w:rPr>
        <w:rFonts w:ascii="Arial" w:hAnsi="Arial"/>
        <w:color w:val="404040"/>
        <w:sz w:val="22"/>
      </w:rPr>
      <w:tcPr>
        <w:shd w:val="clear" w:color="ffffff" w:themeColor="accent5" w:themeTint="34" w:fill="daeef3" w:themeFill="accent5"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5" w:sz="4" w:space="0"/>
          <w:left w:val="none" w:color="000000" w:sz="4" w:space="0"/>
          <w:bottom w:val="none" w:color="000000" w:sz="4" w:space="0"/>
          <w:right w:val="none" w:color="000000" w:sz="4" w:space="0"/>
        </w:tcBorders>
      </w:tcPr>
    </w:tblStylePr>
  </w:style>
  <w:style w:type="table" w:styleId="810">
    <w:name w:val="Grid Table 2 - Accent 6"/>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fde9d8" w:themeFill="accent6" w:themeFillTint="34"/>
      </w:tcPr>
    </w:tblStylePr>
    <w:tblStylePr w:type="band1Vert">
      <w:rPr>
        <w:rFonts w:ascii="Arial" w:hAnsi="Arial"/>
        <w:color w:val="404040"/>
        <w:sz w:val="22"/>
      </w:rPr>
      <w:tcPr>
        <w:shd w:val="clear" w:color="ffffff" w:themeColor="accent6" w:themeTint="34" w:fill="fde9d8" w:themeFill="accent6"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6" w:sz="4" w:space="0"/>
          <w:left w:val="none" w:color="000000" w:sz="4" w:space="0"/>
          <w:bottom w:val="none" w:color="000000" w:sz="4" w:space="0"/>
          <w:right w:val="none" w:color="000000" w:sz="4" w:space="0"/>
        </w:tcBorders>
      </w:tcPr>
    </w:tblStylePr>
  </w:style>
  <w:style w:type="table" w:styleId="811">
    <w:name w:val="Grid Table 3"/>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812">
    <w:name w:val="Grid Table 3 - Accent 1"/>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ae5f1" w:themeFill="accent1" w:themeFillTint="34"/>
      </w:tcPr>
    </w:tblStylePr>
    <w:tblStylePr w:type="band1Vert">
      <w:rPr>
        <w:rFonts w:ascii="Arial" w:hAnsi="Arial"/>
        <w:color w:val="404040"/>
        <w:sz w:val="22"/>
      </w:rPr>
      <w:tcPr>
        <w:shd w:val="clear" w:color="ffffff" w:themeColor="accent1" w:themeTint="34" w:fill="dae5f1" w:themeFill="accent1"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813">
    <w:name w:val="Grid Table 3 - Accent 2"/>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2dcdb" w:themeFill="accent2" w:themeFillTint="32"/>
      </w:tcPr>
    </w:tblStylePr>
    <w:tblStylePr w:type="band1Vert">
      <w:rPr>
        <w:rFonts w:ascii="Arial" w:hAnsi="Arial"/>
        <w:color w:val="404040"/>
        <w:sz w:val="22"/>
      </w:rPr>
      <w:tcPr>
        <w:shd w:val="clear" w:color="ffffff" w:themeColor="accent2" w:themeTint="32" w:fill="f2dcdb" w:themeFill="accent2" w:themeFillTint="32"/>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814">
    <w:name w:val="Grid Table 3 - Accent 3"/>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af0dd" w:themeFill="accent3" w:themeFillTint="34"/>
      </w:tcPr>
    </w:tblStylePr>
    <w:tblStylePr w:type="band1Vert">
      <w:rPr>
        <w:rFonts w:ascii="Arial" w:hAnsi="Arial"/>
        <w:color w:val="404040"/>
        <w:sz w:val="22"/>
      </w:rPr>
      <w:tcPr>
        <w:shd w:val="clear" w:color="ffffff" w:themeColor="accent3" w:themeTint="34" w:fill="eaf0dd" w:themeFill="accent3"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815">
    <w:name w:val="Grid Table 3 - Accent 4"/>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e5dfec" w:themeFill="accent4" w:themeFillTint="34"/>
      </w:tcPr>
    </w:tblStylePr>
    <w:tblStylePr w:type="band1Vert">
      <w:rPr>
        <w:rFonts w:ascii="Arial" w:hAnsi="Arial"/>
        <w:color w:val="404040"/>
        <w:sz w:val="22"/>
      </w:rPr>
      <w:tcPr>
        <w:shd w:val="clear" w:color="ffffff" w:themeColor="accent4" w:themeTint="34" w:fill="e5dfec" w:themeFill="accent4"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816">
    <w:name w:val="Grid Table 3 - Accent 5"/>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aeef3" w:themeFill="accent5" w:themeFillTint="34"/>
      </w:tcPr>
    </w:tblStylePr>
    <w:tblStylePr w:type="band1Vert">
      <w:rPr>
        <w:rFonts w:ascii="Arial" w:hAnsi="Arial"/>
        <w:color w:val="404040"/>
        <w:sz w:val="22"/>
      </w:rPr>
      <w:tcPr>
        <w:shd w:val="clear" w:color="ffffff" w:themeColor="accent5" w:themeTint="34" w:fill="daeef3" w:themeFill="accent5"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817">
    <w:name w:val="Grid Table 3 - Accent 6"/>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fde9d8" w:themeFill="accent6" w:themeFillTint="34"/>
      </w:tcPr>
    </w:tblStylePr>
    <w:tblStylePr w:type="band1Vert">
      <w:rPr>
        <w:rFonts w:ascii="Arial" w:hAnsi="Arial"/>
        <w:color w:val="404040"/>
        <w:sz w:val="22"/>
      </w:rPr>
      <w:tcPr>
        <w:shd w:val="clear" w:color="ffffff" w:themeColor="accent6" w:themeTint="34" w:fill="fde9d8" w:themeFill="accent6"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818">
    <w:name w:val="Grid Table 4"/>
    <w:uiPriority w:val="59"/>
    <w:pPr>
      <w:spacing w:after="0" w:line="240" w:lineRule="auto"/>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rFonts w:ascii="Arial" w:hAnsi="Arial"/>
        <w:b/>
        <w:color w:val="ffffff"/>
        <w:sz w:val="22"/>
      </w:r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tblStylePr>
    <w:tblStylePr w:type="lastRow">
      <w:rPr>
        <w:b/>
        <w:color w:val="404040"/>
      </w:rPr>
      <w:tcPr>
        <w:tcBorders>
          <w:top w:val="single" w:color="000000" w:themeColor="text1" w:sz="4" w:space="0"/>
        </w:tcBorders>
      </w:tcPr>
    </w:tblStylePr>
  </w:style>
  <w:style w:type="table" w:styleId="819">
    <w:name w:val="Grid Table 4 - Accent 1"/>
    <w:uiPriority w:val="5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blStylePr w:type="band1Horz">
      <w:rPr>
        <w:rFonts w:ascii="Arial" w:hAnsi="Arial"/>
        <w:color w:val="404040"/>
        <w:sz w:val="22"/>
      </w:rPr>
      <w:tcPr>
        <w:shd w:val="clear" w:color="ffffff" w:themeColor="accent1" w:themeTint="32" w:fill="dce6f1" w:themeFill="accent1" w:themeFillTint="32"/>
      </w:tcPr>
    </w:tblStylePr>
    <w:tblStylePr w:type="band1Vert">
      <w:rPr>
        <w:rFonts w:ascii="Arial" w:hAnsi="Arial"/>
        <w:color w:val="404040"/>
        <w:sz w:val="22"/>
      </w:rPr>
      <w:tcPr>
        <w:shd w:val="clear" w:color="ffffff" w:themeColor="accent1" w:themeTint="32" w:fill="dce6f1" w:themeFill="accent1" w:themeFillTint="32"/>
      </w:tcPr>
    </w:tblStylePr>
    <w:tblStylePr w:type="firstCol">
      <w:rPr>
        <w:b/>
        <w:color w:val="404040"/>
      </w:rPr>
    </w:tblStylePr>
    <w:tblStylePr w:type="firstRow">
      <w:rPr>
        <w:rFonts w:ascii="Arial" w:hAnsi="Arial"/>
        <w:b/>
        <w:color w:val="ffffff"/>
        <w:sz w:val="22"/>
      </w:rPr>
      <w:tcPr>
        <w:shd w:val="clear" w:color="ffffff" w:themeColor="accent1" w:themeTint="EA" w:fill="5d8dc2"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tblStylePr>
    <w:tblStylePr w:type="lastRow">
      <w:rPr>
        <w:b/>
        <w:color w:val="404040"/>
      </w:rPr>
      <w:tcPr>
        <w:tcBorders>
          <w:top w:val="single" w:color="000000" w:themeColor="accent1" w:themeTint="EA" w:sz="4" w:space="0"/>
        </w:tcBorders>
      </w:tcPr>
    </w:tblStylePr>
  </w:style>
  <w:style w:type="table" w:styleId="820">
    <w:name w:val="Grid Table 4 - Accent 2"/>
    <w:uiPriority w:val="5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blStylePr w:type="band1Horz">
      <w:rPr>
        <w:rFonts w:ascii="Arial" w:hAnsi="Arial"/>
        <w:color w:val="404040"/>
        <w:sz w:val="22"/>
      </w:rPr>
      <w:tcPr>
        <w:shd w:val="clear" w:color="ffffff" w:themeColor="accent2" w:themeTint="32" w:fill="f2dcdb" w:themeFill="accent2" w:themeFillTint="32"/>
      </w:tcPr>
    </w:tblStylePr>
    <w:tblStylePr w:type="band1Vert">
      <w:rPr>
        <w:rFonts w:ascii="Arial" w:hAnsi="Arial"/>
        <w:color w:val="404040"/>
        <w:sz w:val="22"/>
      </w:rPr>
      <w:tcPr>
        <w:shd w:val="clear" w:color="ffffff" w:themeColor="accent2" w:themeTint="32" w:fill="f2dcdb" w:themeFill="accent2" w:themeFillTint="32"/>
      </w:tcPr>
    </w:tblStylePr>
    <w:tblStylePr w:type="firstCol">
      <w:rPr>
        <w:b/>
        <w:color w:val="404040"/>
      </w:rPr>
    </w:tblStylePr>
    <w:tblStylePr w:type="firstRow">
      <w:rPr>
        <w:rFonts w:ascii="Arial" w:hAnsi="Arial"/>
        <w:b/>
        <w:color w:val="ffffff"/>
        <w:sz w:val="22"/>
      </w:rPr>
      <w:tcPr>
        <w:shd w:val="clear" w:color="ffffff" w:themeColor="accent2" w:themeTint="97" w:fill="d99694"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tblStylePr>
    <w:tblStylePr w:type="lastRow">
      <w:rPr>
        <w:b/>
        <w:color w:val="404040"/>
      </w:rPr>
      <w:tcPr>
        <w:tcBorders>
          <w:top w:val="single" w:color="000000" w:themeColor="accent2" w:themeTint="97" w:sz="4" w:space="0"/>
        </w:tcBorders>
      </w:tcPr>
    </w:tblStylePr>
  </w:style>
  <w:style w:type="table" w:styleId="821">
    <w:name w:val="Grid Table 4 - Accent 3"/>
    <w:uiPriority w:val="5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blStylePr w:type="band1Horz">
      <w:rPr>
        <w:rFonts w:ascii="Arial" w:hAnsi="Arial"/>
        <w:color w:val="404040"/>
        <w:sz w:val="22"/>
      </w:rPr>
      <w:tcPr>
        <w:shd w:val="clear" w:color="ffffff" w:themeColor="accent3" w:themeTint="34" w:fill="eaf0dd" w:themeFill="accent3" w:themeFillTint="34"/>
      </w:tcPr>
    </w:tblStylePr>
    <w:tblStylePr w:type="band1Vert">
      <w:rPr>
        <w:rFonts w:ascii="Arial" w:hAnsi="Arial"/>
        <w:color w:val="404040"/>
        <w:sz w:val="22"/>
      </w:rPr>
      <w:tcPr>
        <w:shd w:val="clear" w:color="ffffff" w:themeColor="accent3" w:themeTint="34" w:fill="eaf0dd" w:themeFill="accent3" w:themeFillTint="34"/>
      </w:tcPr>
    </w:tblStylePr>
    <w:tblStylePr w:type="firstCol">
      <w:rPr>
        <w:b/>
        <w:color w:val="404040"/>
      </w:rPr>
    </w:tblStylePr>
    <w:tblStylePr w:type="firstRow">
      <w:rPr>
        <w:rFonts w:ascii="Arial" w:hAnsi="Arial"/>
        <w:b/>
        <w:color w:val="ffffff"/>
        <w:sz w:val="22"/>
      </w:rPr>
      <w:tcPr>
        <w:shd w:val="clear" w:color="ffffff" w:themeColor="accent3" w:themeTint="FE" w:fill="9bba59"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tblStylePr>
    <w:tblStylePr w:type="lastRow">
      <w:rPr>
        <w:b/>
        <w:color w:val="404040"/>
      </w:rPr>
      <w:tcPr>
        <w:tcBorders>
          <w:top w:val="single" w:color="000000" w:themeColor="accent3" w:themeTint="FE" w:sz="4" w:space="0"/>
        </w:tcBorders>
      </w:tcPr>
    </w:tblStylePr>
  </w:style>
  <w:style w:type="table" w:styleId="822">
    <w:name w:val="Grid Table 4 - Accent 4"/>
    <w:uiPriority w:val="5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blStylePr w:type="band1Horz">
      <w:rPr>
        <w:rFonts w:ascii="Arial" w:hAnsi="Arial"/>
        <w:color w:val="404040"/>
        <w:sz w:val="22"/>
      </w:rPr>
      <w:tcPr>
        <w:shd w:val="clear" w:color="ffffff" w:themeColor="accent4" w:themeTint="34" w:fill="e5dfec" w:themeFill="accent4" w:themeFillTint="34"/>
      </w:tcPr>
    </w:tblStylePr>
    <w:tblStylePr w:type="band1Vert">
      <w:rPr>
        <w:rFonts w:ascii="Arial" w:hAnsi="Arial"/>
        <w:color w:val="404040"/>
        <w:sz w:val="22"/>
      </w:rPr>
      <w:tcPr>
        <w:shd w:val="clear" w:color="ffffff" w:themeColor="accent4" w:themeTint="34" w:fill="e5dfec" w:themeFill="accent4" w:themeFillTint="34"/>
      </w:tcPr>
    </w:tblStylePr>
    <w:tblStylePr w:type="firstCol">
      <w:rPr>
        <w:b/>
        <w:color w:val="404040"/>
      </w:rPr>
    </w:tblStylePr>
    <w:tblStylePr w:type="firstRow">
      <w:rPr>
        <w:rFonts w:ascii="Arial" w:hAnsi="Arial"/>
        <w:b/>
        <w:color w:val="ffffff"/>
        <w:sz w:val="22"/>
      </w:rPr>
      <w:tcPr>
        <w:shd w:val="clear" w:color="ffffff" w:themeColor="accent4" w:themeTint="9A" w:fill="b2a1c6"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tblStylePr>
    <w:tblStylePr w:type="lastRow">
      <w:rPr>
        <w:b/>
        <w:color w:val="404040"/>
      </w:rPr>
      <w:tcPr>
        <w:tcBorders>
          <w:top w:val="single" w:color="000000" w:themeColor="accent4" w:themeTint="9A" w:sz="4" w:space="0"/>
        </w:tcBorders>
      </w:tcPr>
    </w:tblStylePr>
  </w:style>
  <w:style w:type="table" w:styleId="823">
    <w:name w:val="Grid Table 4 - Accent 5"/>
    <w:uiPriority w:val="5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404040"/>
        <w:sz w:val="22"/>
      </w:rPr>
      <w:tcPr>
        <w:shd w:val="clear" w:color="ffffff" w:themeColor="accent5" w:themeTint="34" w:fill="daeef3" w:themeFill="accent5" w:themeFillTint="34"/>
      </w:tcPr>
    </w:tblStylePr>
    <w:tblStylePr w:type="band1Vert">
      <w:rPr>
        <w:rFonts w:ascii="Arial" w:hAnsi="Arial"/>
        <w:color w:val="404040"/>
        <w:sz w:val="22"/>
      </w:rPr>
      <w:tcPr>
        <w:shd w:val="clear" w:color="ffffff" w:themeColor="accent5" w:themeTint="34" w:fill="daeef3" w:themeFill="accent5" w:themeFillTint="34"/>
      </w:tcPr>
    </w:tblStylePr>
    <w:tblStylePr w:type="firstCol">
      <w:rPr>
        <w:b/>
        <w:color w:val="404040"/>
      </w:rPr>
    </w:tblStylePr>
    <w:tblStylePr w:type="firstRow">
      <w:rPr>
        <w:rFonts w:ascii="Arial" w:hAnsi="Arial"/>
        <w:b/>
        <w:color w:val="ffffff"/>
        <w:sz w:val="22"/>
      </w:rPr>
      <w:tcPr>
        <w:shd w:val="clear" w:color="ffffff" w:themeColor="accent5" w:fill="4bacc6"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tblStylePr>
    <w:tblStylePr w:type="lastRow">
      <w:rPr>
        <w:b/>
        <w:color w:val="404040"/>
      </w:rPr>
      <w:tcPr>
        <w:tcBorders>
          <w:top w:val="single" w:color="000000" w:themeColor="accent5" w:sz="4" w:space="0"/>
        </w:tcBorders>
      </w:tcPr>
    </w:tblStylePr>
  </w:style>
  <w:style w:type="table" w:styleId="824">
    <w:name w:val="Grid Table 4 - Accent 6"/>
    <w:uiPriority w:val="5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404040"/>
        <w:sz w:val="22"/>
      </w:rPr>
      <w:tcPr>
        <w:shd w:val="clear" w:color="ffffff" w:themeColor="accent6" w:themeTint="34" w:fill="fde9d8" w:themeFill="accent6" w:themeFillTint="34"/>
      </w:tcPr>
    </w:tblStylePr>
    <w:tblStylePr w:type="band1Vert">
      <w:rPr>
        <w:rFonts w:ascii="Arial" w:hAnsi="Arial"/>
        <w:color w:val="404040"/>
        <w:sz w:val="22"/>
      </w:rPr>
      <w:tcPr>
        <w:shd w:val="clear" w:color="ffffff" w:themeColor="accent6" w:themeTint="34" w:fill="fde9d8" w:themeFill="accent6" w:themeFillTint="34"/>
      </w:tcPr>
    </w:tblStylePr>
    <w:tblStylePr w:type="firstCol">
      <w:rPr>
        <w:b/>
        <w:color w:val="404040"/>
      </w:rPr>
    </w:tblStylePr>
    <w:tblStylePr w:type="firstRow">
      <w:rPr>
        <w:rFonts w:ascii="Arial" w:hAnsi="Arial"/>
        <w:b/>
        <w:color w:val="ffffff"/>
        <w:sz w:val="22"/>
      </w:rPr>
      <w:tcPr>
        <w:shd w:val="clear" w:color="ffffff" w:themeColor="accent6" w:fill="f79646"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tblStylePr>
    <w:tblStylePr w:type="lastRow">
      <w:rPr>
        <w:b/>
        <w:color w:val="404040"/>
      </w:rPr>
      <w:tcPr>
        <w:tcBorders>
          <w:top w:val="single" w:color="000000" w:themeColor="accent6" w:sz="4" w:space="0"/>
        </w:tcBorders>
      </w:tcPr>
    </w:tblStylePr>
  </w:style>
  <w:style w:type="table" w:styleId="825">
    <w:name w:val="Grid Table 5 Dark"/>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blStylePr w:type="band1Horz">
      <w:tcPr>
        <w:shd w:val="clear" w:color="ffffff" w:themeColor="text1" w:themeTint="75" w:fill="8a8a8a" w:themeFill="text1" w:themeFillTint="75"/>
      </w:tcPr>
    </w:tblStylePr>
    <w:tblStylePr w:type="band1Vert">
      <w:tcPr>
        <w:shd w:val="clear" w:color="ffffff" w:themeColor="text1" w:themeTint="75" w:fill="8a8a8a" w:themeFill="text1" w:themeFillTint="75"/>
      </w:tcPr>
    </w:tblStylePr>
    <w:tblStylePr w:type="firstCol">
      <w:rPr>
        <w:rFonts w:ascii="Arial" w:hAnsi="Arial"/>
        <w:b/>
        <w:color w:val="ffffff"/>
        <w:sz w:val="22"/>
      </w:rPr>
      <w:tcPr>
        <w:shd w:val="clear" w:color="ffffff" w:themeColor="text1" w:fill="000000" w:themeFill="text1"/>
      </w:tcPr>
    </w:tblStylePr>
    <w:tblStylePr w:type="firstRow">
      <w:rPr>
        <w:rFonts w:ascii="Arial" w:hAnsi="Arial"/>
        <w:b/>
        <w:color w:val="ffffff"/>
        <w:sz w:val="22"/>
      </w:rPr>
      <w:tcPr>
        <w:shd w:val="clear" w:color="ffffff" w:themeColor="text1" w:fill="000000" w:themeFill="text1"/>
      </w:tcPr>
    </w:tblStylePr>
    <w:tblStylePr w:type="lastCol">
      <w:rPr>
        <w:rFonts w:ascii="Arial" w:hAnsi="Arial"/>
        <w:b/>
        <w:color w:val="ffffff"/>
        <w:sz w:val="22"/>
      </w:rPr>
      <w:tcPr>
        <w:shd w:val="clear" w:color="ffffff" w:themeColor="text1" w:fill="000000" w:themeFill="text1"/>
      </w:tcPr>
    </w:tblStylePr>
    <w:tblStylePr w:type="lastRow">
      <w:rPr>
        <w:rFonts w:ascii="Arial" w:hAnsi="Arial"/>
        <w:b/>
        <w:color w:val="ffffff"/>
        <w:sz w:val="22"/>
      </w:rPr>
      <w:tcPr>
        <w:shd w:val="clear" w:color="ffffff" w:themeColor="text1" w:fill="000000" w:themeFill="text1"/>
        <w:tcBorders>
          <w:top w:val="single" w:color="000000" w:themeColor="light1" w:sz="4" w:space="0"/>
        </w:tcBorders>
      </w:tcPr>
    </w:tblStylePr>
  </w:style>
  <w:style w:type="table" w:styleId="826">
    <w:name w:val="Grid Table 5 Dark- Accent 1"/>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ae5f1" w:themeFill="accent1" w:themeFillTint="34"/>
    </w:tblPr>
    <w:tblStylePr w:type="band1Horz">
      <w:tcPr>
        <w:shd w:val="clear" w:color="ffffff" w:themeColor="accent1" w:themeTint="75" w:fill="adc5e0" w:themeFill="accent1" w:themeFillTint="75"/>
      </w:tcPr>
    </w:tblStylePr>
    <w:tblStylePr w:type="band1Vert">
      <w:tcPr>
        <w:shd w:val="clear" w:color="ffffff" w:themeColor="accent1" w:themeTint="75" w:fill="adc5e0" w:themeFill="accent1" w:themeFillTint="75"/>
      </w:tcPr>
    </w:tblStylePr>
    <w:tblStylePr w:type="firstCol">
      <w:rPr>
        <w:rFonts w:ascii="Arial" w:hAnsi="Arial"/>
        <w:b/>
        <w:color w:val="ffffff"/>
        <w:sz w:val="22"/>
      </w:rPr>
      <w:tcPr>
        <w:shd w:val="clear" w:color="ffffff" w:themeColor="accent1" w:fill="4f81bd" w:themeFill="accent1"/>
      </w:tcPr>
    </w:tblStylePr>
    <w:tblStylePr w:type="firstRow">
      <w:rPr>
        <w:rFonts w:ascii="Arial" w:hAnsi="Arial"/>
        <w:b/>
        <w:color w:val="ffffff"/>
        <w:sz w:val="22"/>
      </w:rPr>
      <w:tcPr>
        <w:shd w:val="clear" w:color="ffffff" w:themeColor="accent1" w:fill="4f81bd" w:themeFill="accent1"/>
      </w:tcPr>
    </w:tblStylePr>
    <w:tblStylePr w:type="lastCol">
      <w:rPr>
        <w:rFonts w:ascii="Arial" w:hAnsi="Arial"/>
        <w:b/>
        <w:color w:val="ffffff"/>
        <w:sz w:val="22"/>
      </w:rPr>
      <w:tcPr>
        <w:shd w:val="clear" w:color="ffffff" w:themeColor="accent1" w:fill="4f81bd" w:themeFill="accent1"/>
      </w:tcPr>
    </w:tblStylePr>
    <w:tblStylePr w:type="lastRow">
      <w:rPr>
        <w:rFonts w:ascii="Arial" w:hAnsi="Arial"/>
        <w:b/>
        <w:color w:val="ffffff"/>
        <w:sz w:val="22"/>
      </w:rPr>
      <w:tcPr>
        <w:shd w:val="clear" w:color="ffffff" w:themeColor="accent1" w:fill="4f81bd" w:themeFill="accent1"/>
        <w:tcBorders>
          <w:top w:val="single" w:color="000000" w:themeColor="light1" w:sz="4" w:space="0"/>
        </w:tcBorders>
      </w:tcPr>
    </w:tblStylePr>
  </w:style>
  <w:style w:type="table" w:styleId="827">
    <w:name w:val="Grid Table 5 Dark - Accent 2"/>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2dcdb" w:themeFill="accent2" w:themeFillTint="32"/>
    </w:tblPr>
    <w:tblStylePr w:type="band1Horz">
      <w:tcPr>
        <w:shd w:val="clear" w:color="ffffff" w:themeColor="accent2" w:themeTint="75" w:fill="e1adac" w:themeFill="accent2" w:themeFillTint="75"/>
      </w:tcPr>
    </w:tblStylePr>
    <w:tblStylePr w:type="band1Vert">
      <w:tcPr>
        <w:shd w:val="clear" w:color="ffffff" w:themeColor="accent2" w:themeTint="75" w:fill="e1adac" w:themeFill="accent2" w:themeFillTint="75"/>
      </w:tcPr>
    </w:tblStylePr>
    <w:tblStylePr w:type="firstCol">
      <w:rPr>
        <w:rFonts w:ascii="Arial" w:hAnsi="Arial"/>
        <w:b/>
        <w:color w:val="ffffff"/>
        <w:sz w:val="22"/>
      </w:rPr>
      <w:tcPr>
        <w:shd w:val="clear" w:color="ffffff" w:themeColor="accent2" w:fill="c0504d" w:themeFill="accent2"/>
      </w:tcPr>
    </w:tblStylePr>
    <w:tblStylePr w:type="firstRow">
      <w:rPr>
        <w:rFonts w:ascii="Arial" w:hAnsi="Arial"/>
        <w:b/>
        <w:color w:val="ffffff"/>
        <w:sz w:val="22"/>
      </w:rPr>
      <w:tcPr>
        <w:shd w:val="clear" w:color="ffffff" w:themeColor="accent2" w:fill="c0504d" w:themeFill="accent2"/>
      </w:tcPr>
    </w:tblStylePr>
    <w:tblStylePr w:type="lastCol">
      <w:rPr>
        <w:rFonts w:ascii="Arial" w:hAnsi="Arial"/>
        <w:b/>
        <w:color w:val="ffffff"/>
        <w:sz w:val="22"/>
      </w:rPr>
      <w:tcPr>
        <w:shd w:val="clear" w:color="ffffff" w:themeColor="accent2" w:fill="c0504d" w:themeFill="accent2"/>
      </w:tcPr>
    </w:tblStylePr>
    <w:tblStylePr w:type="lastRow">
      <w:rPr>
        <w:rFonts w:ascii="Arial" w:hAnsi="Arial"/>
        <w:b/>
        <w:color w:val="ffffff"/>
        <w:sz w:val="22"/>
      </w:rPr>
      <w:tcPr>
        <w:shd w:val="clear" w:color="ffffff" w:themeColor="accent2" w:fill="c0504d" w:themeFill="accent2"/>
        <w:tcBorders>
          <w:top w:val="single" w:color="000000" w:themeColor="light1" w:sz="4" w:space="0"/>
        </w:tcBorders>
      </w:tcPr>
    </w:tblStylePr>
  </w:style>
  <w:style w:type="table" w:styleId="828">
    <w:name w:val="Grid Table 5 Dark - Accent 3"/>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af0dd" w:themeFill="accent3" w:themeFillTint="34"/>
    </w:tblPr>
    <w:tblStylePr w:type="band1Horz">
      <w:tcPr>
        <w:shd w:val="clear" w:color="ffffff" w:themeColor="accent3" w:themeTint="75" w:fill="d1dfb2" w:themeFill="accent3" w:themeFillTint="75"/>
      </w:tcPr>
    </w:tblStylePr>
    <w:tblStylePr w:type="band1Vert">
      <w:tcPr>
        <w:shd w:val="clear" w:color="ffffff" w:themeColor="accent3" w:themeTint="75" w:fill="d1dfb2" w:themeFill="accent3" w:themeFillTint="75"/>
      </w:tcPr>
    </w:tblStylePr>
    <w:tblStylePr w:type="firstCol">
      <w:rPr>
        <w:rFonts w:ascii="Arial" w:hAnsi="Arial"/>
        <w:b/>
        <w:color w:val="ffffff"/>
        <w:sz w:val="22"/>
      </w:rPr>
      <w:tcPr>
        <w:shd w:val="clear" w:color="ffffff" w:themeColor="accent3" w:fill="9bbb59" w:themeFill="accent3"/>
      </w:tcPr>
    </w:tblStylePr>
    <w:tblStylePr w:type="firstRow">
      <w:rPr>
        <w:rFonts w:ascii="Arial" w:hAnsi="Arial"/>
        <w:b/>
        <w:color w:val="ffffff"/>
        <w:sz w:val="22"/>
      </w:rPr>
      <w:tcPr>
        <w:shd w:val="clear" w:color="ffffff" w:themeColor="accent3" w:fill="9bbb59" w:themeFill="accent3"/>
      </w:tcPr>
    </w:tblStylePr>
    <w:tblStylePr w:type="lastCol">
      <w:rPr>
        <w:rFonts w:ascii="Arial" w:hAnsi="Arial"/>
        <w:b/>
        <w:color w:val="ffffff"/>
        <w:sz w:val="22"/>
      </w:rPr>
      <w:tcPr>
        <w:shd w:val="clear" w:color="ffffff" w:themeColor="accent3" w:fill="9bbb59" w:themeFill="accent3"/>
      </w:tcPr>
    </w:tblStylePr>
    <w:tblStylePr w:type="lastRow">
      <w:rPr>
        <w:rFonts w:ascii="Arial" w:hAnsi="Arial"/>
        <w:b/>
        <w:color w:val="ffffff"/>
        <w:sz w:val="22"/>
      </w:rPr>
      <w:tcPr>
        <w:shd w:val="clear" w:color="ffffff" w:themeColor="accent3" w:fill="9bbb59" w:themeFill="accent3"/>
        <w:tcBorders>
          <w:top w:val="single" w:color="000000" w:themeColor="light1" w:sz="4" w:space="0"/>
        </w:tcBorders>
      </w:tcPr>
    </w:tblStylePr>
  </w:style>
  <w:style w:type="table" w:styleId="829">
    <w:name w:val="Grid Table 5 Dark- Accent 4"/>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e5dfec" w:themeFill="accent4" w:themeFillTint="34"/>
    </w:tblPr>
    <w:tblStylePr w:type="band1Horz">
      <w:tcPr>
        <w:shd w:val="clear" w:color="ffffff" w:themeColor="accent4" w:themeTint="75" w:fill="c4b7d4" w:themeFill="accent4" w:themeFillTint="75"/>
      </w:tcPr>
    </w:tblStylePr>
    <w:tblStylePr w:type="band1Vert">
      <w:tcPr>
        <w:shd w:val="clear" w:color="ffffff" w:themeColor="accent4" w:themeTint="75" w:fill="c4b7d4" w:themeFill="accent4" w:themeFillTint="75"/>
      </w:tcPr>
    </w:tblStylePr>
    <w:tblStylePr w:type="firstCol">
      <w:rPr>
        <w:rFonts w:ascii="Arial" w:hAnsi="Arial"/>
        <w:b/>
        <w:color w:val="ffffff"/>
        <w:sz w:val="22"/>
      </w:rPr>
      <w:tcPr>
        <w:shd w:val="clear" w:color="ffffff" w:themeColor="accent4" w:fill="8064a2" w:themeFill="accent4"/>
      </w:tcPr>
    </w:tblStylePr>
    <w:tblStylePr w:type="firstRow">
      <w:rPr>
        <w:rFonts w:ascii="Arial" w:hAnsi="Arial"/>
        <w:b/>
        <w:color w:val="ffffff"/>
        <w:sz w:val="22"/>
      </w:rPr>
      <w:tcPr>
        <w:shd w:val="clear" w:color="ffffff" w:themeColor="accent4" w:fill="8064a2" w:themeFill="accent4"/>
      </w:tcPr>
    </w:tblStylePr>
    <w:tblStylePr w:type="lastCol">
      <w:rPr>
        <w:rFonts w:ascii="Arial" w:hAnsi="Arial"/>
        <w:b/>
        <w:color w:val="ffffff"/>
        <w:sz w:val="22"/>
      </w:rPr>
      <w:tcPr>
        <w:shd w:val="clear" w:color="ffffff" w:themeColor="accent4" w:fill="8064a2" w:themeFill="accent4"/>
      </w:tcPr>
    </w:tblStylePr>
    <w:tblStylePr w:type="lastRow">
      <w:rPr>
        <w:rFonts w:ascii="Arial" w:hAnsi="Arial"/>
        <w:b/>
        <w:color w:val="ffffff"/>
        <w:sz w:val="22"/>
      </w:rPr>
      <w:tcPr>
        <w:shd w:val="clear" w:color="ffffff" w:themeColor="accent4" w:fill="8064a2" w:themeFill="accent4"/>
        <w:tcBorders>
          <w:top w:val="single" w:color="000000" w:themeColor="light1" w:sz="4" w:space="0"/>
        </w:tcBorders>
      </w:tcPr>
    </w:tblStylePr>
  </w:style>
  <w:style w:type="table" w:styleId="830">
    <w:name w:val="Grid Table 5 Dark - Accent 5"/>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aeef3" w:themeFill="accent5" w:themeFillTint="34"/>
    </w:tblPr>
    <w:tblStylePr w:type="band1Horz">
      <w:tcPr>
        <w:shd w:val="clear" w:color="ffffff" w:themeColor="accent5" w:themeTint="75" w:fill="abd9e4" w:themeFill="accent5" w:themeFillTint="75"/>
      </w:tcPr>
    </w:tblStylePr>
    <w:tblStylePr w:type="band1Vert">
      <w:tcPr>
        <w:shd w:val="clear" w:color="ffffff" w:themeColor="accent5" w:themeTint="75" w:fill="abd9e4" w:themeFill="accent5" w:themeFillTint="75"/>
      </w:tcPr>
    </w:tblStylePr>
    <w:tblStylePr w:type="firstCol">
      <w:rPr>
        <w:rFonts w:ascii="Arial" w:hAnsi="Arial"/>
        <w:b/>
        <w:color w:val="ffffff"/>
        <w:sz w:val="22"/>
      </w:rPr>
      <w:tcPr>
        <w:shd w:val="clear" w:color="ffffff" w:themeColor="accent5" w:fill="4bacc6" w:themeFill="accent5"/>
      </w:tcPr>
    </w:tblStylePr>
    <w:tblStylePr w:type="firstRow">
      <w:rPr>
        <w:rFonts w:ascii="Arial" w:hAnsi="Arial"/>
        <w:b/>
        <w:color w:val="ffffff"/>
        <w:sz w:val="22"/>
      </w:rPr>
      <w:tcPr>
        <w:shd w:val="clear" w:color="ffffff" w:themeColor="accent5" w:fill="4bacc6" w:themeFill="accent5"/>
      </w:tcPr>
    </w:tblStylePr>
    <w:tblStylePr w:type="lastCol">
      <w:rPr>
        <w:rFonts w:ascii="Arial" w:hAnsi="Arial"/>
        <w:b/>
        <w:color w:val="ffffff"/>
        <w:sz w:val="22"/>
      </w:rPr>
      <w:tcPr>
        <w:shd w:val="clear" w:color="ffffff" w:themeColor="accent5" w:fill="4bacc6" w:themeFill="accent5"/>
      </w:tcPr>
    </w:tblStylePr>
    <w:tblStylePr w:type="lastRow">
      <w:rPr>
        <w:rFonts w:ascii="Arial" w:hAnsi="Arial"/>
        <w:b/>
        <w:color w:val="ffffff"/>
        <w:sz w:val="22"/>
      </w:rPr>
      <w:tcPr>
        <w:shd w:val="clear" w:color="ffffff" w:themeColor="accent5" w:fill="4bacc6" w:themeFill="accent5"/>
        <w:tcBorders>
          <w:top w:val="single" w:color="000000" w:themeColor="light1" w:sz="4" w:space="0"/>
        </w:tcBorders>
      </w:tcPr>
    </w:tblStylePr>
  </w:style>
  <w:style w:type="table" w:styleId="831">
    <w:name w:val="Grid Table 5 Dark - Accent 6"/>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fde9d8" w:themeFill="accent6" w:themeFillTint="34"/>
    </w:tblPr>
    <w:tblStylePr w:type="band1Horz">
      <w:tcPr>
        <w:shd w:val="clear" w:color="ffffff" w:themeColor="accent6" w:themeTint="75" w:fill="fbcda8" w:themeFill="accent6" w:themeFillTint="75"/>
      </w:tcPr>
    </w:tblStylePr>
    <w:tblStylePr w:type="band1Vert">
      <w:tcPr>
        <w:shd w:val="clear" w:color="ffffff" w:themeColor="accent6" w:themeTint="75" w:fill="fbcda8" w:themeFill="accent6" w:themeFillTint="75"/>
      </w:tcPr>
    </w:tblStylePr>
    <w:tblStylePr w:type="firstCol">
      <w:rPr>
        <w:rFonts w:ascii="Arial" w:hAnsi="Arial"/>
        <w:b/>
        <w:color w:val="ffffff"/>
        <w:sz w:val="22"/>
      </w:rPr>
      <w:tcPr>
        <w:shd w:val="clear" w:color="ffffff" w:themeColor="accent6" w:fill="f79646" w:themeFill="accent6"/>
      </w:tcPr>
    </w:tblStylePr>
    <w:tblStylePr w:type="firstRow">
      <w:rPr>
        <w:rFonts w:ascii="Arial" w:hAnsi="Arial"/>
        <w:b/>
        <w:color w:val="ffffff"/>
        <w:sz w:val="22"/>
      </w:rPr>
      <w:tcPr>
        <w:shd w:val="clear" w:color="ffffff" w:themeColor="accent6" w:fill="f79646" w:themeFill="accent6"/>
      </w:tcPr>
    </w:tblStylePr>
    <w:tblStylePr w:type="lastCol">
      <w:rPr>
        <w:rFonts w:ascii="Arial" w:hAnsi="Arial"/>
        <w:b/>
        <w:color w:val="ffffff"/>
        <w:sz w:val="22"/>
      </w:rPr>
      <w:tcPr>
        <w:shd w:val="clear" w:color="ffffff" w:themeColor="accent6" w:fill="f79646" w:themeFill="accent6"/>
      </w:tcPr>
    </w:tblStylePr>
    <w:tblStylePr w:type="lastRow">
      <w:rPr>
        <w:rFonts w:ascii="Arial" w:hAnsi="Arial"/>
        <w:b/>
        <w:color w:val="ffffff"/>
        <w:sz w:val="22"/>
      </w:rPr>
      <w:tcPr>
        <w:shd w:val="clear" w:color="ffffff" w:themeColor="accent6" w:fill="f79646" w:themeFill="accent6"/>
        <w:tcBorders>
          <w:top w:val="single" w:color="000000" w:themeColor="light1" w:sz="4" w:space="0"/>
        </w:tcBorders>
      </w:tcPr>
    </w:tblStylePr>
  </w:style>
  <w:style w:type="table" w:styleId="832">
    <w:name w:val="Grid Table 6 Colorful"/>
    <w:uiPriority w:val="99"/>
    <w:pPr>
      <w:spacing w:after="0" w:line="240" w:lineRule="auto"/>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04040" w:themeColor="text1" w:themeTint="80" w:themeShade="95"/>
        <w:sz w:val="22"/>
      </w:rPr>
      <w:tcPr>
        <w:shd w:val="clear" w:color="ffffff" w:themeColor="text1" w:themeTint="34" w:fill="cbcbcb" w:themeFill="text1" w:themeFillTint="34"/>
      </w:tcPr>
    </w:tblStylePr>
    <w:tblStylePr w:type="band1Vert">
      <w:tcPr>
        <w:shd w:val="clear" w:color="ffffff" w:themeColor="text1" w:themeTint="34" w:fill="cbcbcb" w:themeFill="text1" w:themeFillTint="34"/>
      </w:tcPr>
    </w:tblStylePr>
    <w:tblStylePr w:type="band2Horz">
      <w:rPr>
        <w:rFonts w:ascii="Arial" w:hAnsi="Arial"/>
        <w:color w:val="404040" w:themeColor="text1" w:themeTint="80" w:themeShade="95"/>
        <w:sz w:val="22"/>
      </w:rPr>
    </w:tblStylePr>
    <w:tblStylePr w:type="firstCol">
      <w:rPr>
        <w:b/>
        <w:color w:val="4a4a4a" w:themeColor="text1" w:themeTint="80" w:themeShade="95"/>
      </w:rPr>
    </w:tblStylePr>
    <w:tblStylePr w:type="firstRow">
      <w:rPr>
        <w:b/>
        <w:color w:val="4a4a4a" w:themeColor="text1" w:themeTint="80" w:themeShade="95"/>
      </w:rPr>
      <w:tcPr>
        <w:tcBorders>
          <w:bottom w:val="single" w:color="000000" w:themeColor="text1" w:themeTint="80" w:sz="12" w:space="0"/>
        </w:tcBorders>
      </w:tcPr>
    </w:tblStylePr>
    <w:tblStylePr w:type="lastCol">
      <w:rPr>
        <w:b/>
        <w:color w:val="4a4a4a" w:themeColor="text1" w:themeTint="80" w:themeShade="95"/>
      </w:rPr>
    </w:tblStylePr>
    <w:tblStylePr w:type="lastRow">
      <w:rPr>
        <w:b/>
        <w:color w:val="4a4a4a" w:themeColor="text1" w:themeTint="80" w:themeShade="95"/>
      </w:rPr>
    </w:tblStylePr>
    <w:tblStylePr w:type="wholeTable">
      <w:rPr>
        <w:rFonts w:ascii="Arial" w:hAnsi="Arial"/>
        <w:color w:val="404040" w:themeColor="text1" w:themeTint="80" w:themeShade="95"/>
        <w:sz w:val="22"/>
      </w:rPr>
    </w:tblStylePr>
  </w:style>
  <w:style w:type="table" w:styleId="833">
    <w:name w:val="Grid Table 6 Colorful - Accent 1"/>
    <w:uiPriority w:val="99"/>
    <w:pPr>
      <w:spacing w:after="0" w:line="240" w:lineRule="auto"/>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404040" w:themeColor="accent1" w:themeTint="80" w:themeShade="95"/>
        <w:sz w:val="22"/>
      </w:rPr>
      <w:tcPr>
        <w:shd w:val="clear" w:color="ffffff" w:themeColor="accent1" w:themeTint="34" w:fill="dae5f1" w:themeFill="accent1" w:themeFillTint="34"/>
      </w:tcPr>
    </w:tblStylePr>
    <w:tblStylePr w:type="band1Vert">
      <w:tcPr>
        <w:shd w:val="clear" w:color="ffffff" w:themeColor="accent1" w:themeTint="34" w:fill="dae5f1" w:themeFill="accent1" w:themeFillTint="34"/>
      </w:tcPr>
    </w:tblStylePr>
    <w:tblStylePr w:type="band2Horz">
      <w:rPr>
        <w:rFonts w:ascii="Arial" w:hAnsi="Arial"/>
        <w:color w:val="404040" w:themeColor="accent1" w:themeTint="80" w:themeShade="95"/>
        <w:sz w:val="22"/>
      </w:rPr>
    </w:tblStylePr>
    <w:tblStylePr w:type="firstCol">
      <w:rPr>
        <w:b/>
        <w:color w:val="3e70a3" w:themeColor="accent1" w:themeTint="80" w:themeShade="95"/>
      </w:rPr>
    </w:tblStylePr>
    <w:tblStylePr w:type="firstRow">
      <w:rPr>
        <w:b/>
        <w:color w:val="3e70a3" w:themeColor="accent1" w:themeTint="80" w:themeShade="95"/>
      </w:rPr>
      <w:tcPr>
        <w:tcBorders>
          <w:bottom w:val="single" w:color="000000" w:themeColor="accent1" w:themeTint="80" w:sz="12" w:space="0"/>
        </w:tcBorders>
      </w:tcPr>
    </w:tblStylePr>
    <w:tblStylePr w:type="lastCol">
      <w:rPr>
        <w:b/>
        <w:color w:val="3e70a3" w:themeColor="accent1" w:themeTint="80" w:themeShade="95"/>
      </w:rPr>
    </w:tblStylePr>
    <w:tblStylePr w:type="lastRow">
      <w:rPr>
        <w:b/>
        <w:color w:val="3e70a3" w:themeColor="accent1" w:themeTint="80" w:themeShade="95"/>
      </w:rPr>
    </w:tblStylePr>
    <w:tblStylePr w:type="wholeTable">
      <w:rPr>
        <w:rFonts w:ascii="Arial" w:hAnsi="Arial"/>
        <w:color w:val="404040" w:themeColor="accent1" w:themeTint="80" w:themeShade="95"/>
        <w:sz w:val="22"/>
      </w:rPr>
    </w:tblStylePr>
  </w:style>
  <w:style w:type="table" w:styleId="834">
    <w:name w:val="Grid Table 6 Colorful - Accent 2"/>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32" w:fill="f2dcdb" w:themeFill="accent2" w:themeFillTint="32"/>
      </w:tcPr>
    </w:tblStylePr>
    <w:tblStylePr w:type="band1Vert">
      <w:tcPr>
        <w:shd w:val="clear" w:color="ffffff" w:themeColor="accent2" w:themeTint="32" w:fill="f2dcdb" w:themeFill="accent2" w:themeFillTint="32"/>
      </w:tcPr>
    </w:tblStylePr>
    <w:tblStylePr w:type="band2Horz">
      <w:rPr>
        <w:rFonts w:ascii="Arial" w:hAnsi="Arial"/>
        <w:color w:val="404040" w:themeColor="accent2" w:themeTint="97" w:themeShade="95"/>
        <w:sz w:val="22"/>
      </w:rPr>
    </w:tblStylePr>
    <w:tblStylePr w:type="firstCol">
      <w:rPr>
        <w:b/>
        <w:color w:val="9c3a37" w:themeColor="accent2" w:themeTint="97" w:themeShade="95"/>
      </w:rPr>
    </w:tblStylePr>
    <w:tblStylePr w:type="firstRow">
      <w:rPr>
        <w:b/>
        <w:color w:val="9c3a37" w:themeColor="accent2" w:themeTint="97" w:themeShade="95"/>
      </w:rPr>
      <w:tcPr>
        <w:tcBorders>
          <w:bottom w:val="single" w:color="000000" w:themeColor="accent2" w:themeTint="97" w:sz="12" w:space="0"/>
        </w:tcBorders>
      </w:tcPr>
    </w:tblStylePr>
    <w:tblStylePr w:type="lastCol">
      <w:rPr>
        <w:b/>
        <w:color w:val="9c3a37" w:themeColor="accent2" w:themeTint="97" w:themeShade="95"/>
      </w:rPr>
    </w:tblStylePr>
    <w:tblStylePr w:type="lastRow">
      <w:rPr>
        <w:b/>
        <w:color w:val="9c3a37" w:themeColor="accent2" w:themeTint="97" w:themeShade="95"/>
      </w:rPr>
    </w:tblStylePr>
    <w:tblStylePr w:type="wholeTable">
      <w:rPr>
        <w:rFonts w:ascii="Arial" w:hAnsi="Arial"/>
        <w:color w:val="404040" w:themeColor="accent2" w:themeTint="97" w:themeShade="95"/>
        <w:sz w:val="22"/>
      </w:rPr>
    </w:tblStylePr>
  </w:style>
  <w:style w:type="table" w:styleId="835">
    <w:name w:val="Grid Table 6 Colorful - Accent 3"/>
    <w:uiPriority w:val="99"/>
    <w:pPr>
      <w:spacing w:after="0" w:line="240" w:lineRule="auto"/>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themeColor="accent3" w:themeTint="FE" w:themeShade="95"/>
        <w:sz w:val="22"/>
      </w:rPr>
      <w:tcPr>
        <w:shd w:val="clear" w:color="ffffff" w:themeColor="accent3" w:themeTint="34" w:fill="eaf0dd" w:themeFill="accent3" w:themeFillTint="34"/>
      </w:tcPr>
    </w:tblStylePr>
    <w:tblStylePr w:type="band1Vert">
      <w:tcPr>
        <w:shd w:val="clear" w:color="ffffff" w:themeColor="accent3" w:themeTint="34" w:fill="eaf0dd" w:themeFill="accent3" w:themeFillTint="34"/>
      </w:tcPr>
    </w:tblStylePr>
    <w:tblStylePr w:type="band2Horz">
      <w:rPr>
        <w:rFonts w:ascii="Arial" w:hAnsi="Arial"/>
        <w:color w:val="404040" w:themeColor="accent3" w:themeTint="FE" w:themeShade="95"/>
        <w:sz w:val="22"/>
      </w:rPr>
    </w:tblStylePr>
    <w:tblStylePr w:type="firstCol">
      <w:rPr>
        <w:b/>
        <w:color w:val="5c702f" w:themeColor="accent3" w:themeTint="FE" w:themeShade="95"/>
      </w:rPr>
    </w:tblStylePr>
    <w:tblStylePr w:type="firstRow">
      <w:rPr>
        <w:b/>
        <w:color w:val="5c702f" w:themeColor="accent3" w:themeTint="FE" w:themeShade="95"/>
      </w:rPr>
      <w:tcPr>
        <w:tcBorders>
          <w:bottom w:val="single" w:color="000000" w:themeColor="accent3" w:themeTint="FE" w:sz="12" w:space="0"/>
        </w:tcBorders>
      </w:tcPr>
    </w:tblStylePr>
    <w:tblStylePr w:type="lastCol">
      <w:rPr>
        <w:b/>
        <w:color w:val="5c702f" w:themeColor="accent3" w:themeTint="FE" w:themeShade="95"/>
      </w:rPr>
    </w:tblStylePr>
    <w:tblStylePr w:type="lastRow">
      <w:rPr>
        <w:b/>
        <w:color w:val="5c702f" w:themeColor="accent3" w:themeTint="FE" w:themeShade="95"/>
      </w:rPr>
    </w:tblStylePr>
    <w:tblStylePr w:type="wholeTable">
      <w:rPr>
        <w:rFonts w:ascii="Arial" w:hAnsi="Arial"/>
        <w:color w:val="404040" w:themeColor="accent3" w:themeTint="FE" w:themeShade="95"/>
        <w:sz w:val="22"/>
      </w:rPr>
    </w:tblStylePr>
  </w:style>
  <w:style w:type="table" w:styleId="836">
    <w:name w:val="Grid Table 6 Colorful - Accent 4"/>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34" w:fill="e5dfec" w:themeFill="accent4" w:themeFillTint="34"/>
      </w:tcPr>
    </w:tblStylePr>
    <w:tblStylePr w:type="band1Vert">
      <w:tcPr>
        <w:shd w:val="clear" w:color="ffffff" w:themeColor="accent4" w:themeTint="34" w:fill="e5dfec" w:themeFill="accent4" w:themeFillTint="34"/>
      </w:tcPr>
    </w:tblStylePr>
    <w:tblStylePr w:type="band2Horz">
      <w:rPr>
        <w:rFonts w:ascii="Arial" w:hAnsi="Arial"/>
        <w:color w:val="404040" w:themeColor="accent4" w:themeTint="9A" w:themeShade="95"/>
        <w:sz w:val="22"/>
      </w:rPr>
    </w:tblStylePr>
    <w:tblStylePr w:type="firstCol">
      <w:rPr>
        <w:b/>
        <w:color w:val="664f82" w:themeColor="accent4" w:themeTint="9A" w:themeShade="95"/>
      </w:rPr>
    </w:tblStylePr>
    <w:tblStylePr w:type="firstRow">
      <w:rPr>
        <w:b/>
        <w:color w:val="664f82" w:themeColor="accent4" w:themeTint="9A" w:themeShade="95"/>
      </w:rPr>
      <w:tcPr>
        <w:tcBorders>
          <w:bottom w:val="single" w:color="000000" w:themeColor="accent4" w:themeTint="9A" w:sz="12" w:space="0"/>
        </w:tcBorders>
      </w:tcPr>
    </w:tblStylePr>
    <w:tblStylePr w:type="lastCol">
      <w:rPr>
        <w:b/>
        <w:color w:val="664f82" w:themeColor="accent4" w:themeTint="9A" w:themeShade="95"/>
      </w:rPr>
    </w:tblStylePr>
    <w:tblStylePr w:type="lastRow">
      <w:rPr>
        <w:b/>
        <w:color w:val="664f82" w:themeColor="accent4" w:themeTint="9A" w:themeShade="95"/>
      </w:rPr>
    </w:tblStylePr>
    <w:tblStylePr w:type="wholeTable">
      <w:rPr>
        <w:rFonts w:ascii="Arial" w:hAnsi="Arial"/>
        <w:color w:val="404040" w:themeColor="accent4" w:themeTint="9A" w:themeShade="95"/>
        <w:sz w:val="22"/>
      </w:rPr>
    </w:tblStylePr>
  </w:style>
  <w:style w:type="table" w:styleId="837">
    <w:name w:val="Grid Table 6 Colorful - Accent 5"/>
    <w:uiPriority w:val="99"/>
    <w:pPr>
      <w:spacing w:after="0" w:line="240" w:lineRule="auto"/>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themeColor="accent5" w:themeShade="95"/>
        <w:sz w:val="22"/>
      </w:rPr>
      <w:tcPr>
        <w:shd w:val="clear" w:color="ffffff" w:themeColor="accent5" w:themeTint="34" w:fill="daeef3" w:themeFill="accent5" w:themeFillTint="34"/>
      </w:tcPr>
    </w:tblStylePr>
    <w:tblStylePr w:type="band1Vert">
      <w:tcPr>
        <w:shd w:val="clear" w:color="ffffff" w:themeColor="accent5" w:themeTint="34" w:fill="daeef3" w:themeFill="accent5" w:themeFillTint="34"/>
      </w:tcPr>
    </w:tblStylePr>
    <w:tblStylePr w:type="band2Horz">
      <w:rPr>
        <w:rFonts w:ascii="Arial" w:hAnsi="Arial"/>
        <w:color w:val="404040" w:themeColor="accent5" w:themeShade="95"/>
        <w:sz w:val="22"/>
      </w:rPr>
    </w:tblStylePr>
    <w:tblStylePr w:type="firstCol">
      <w:rPr>
        <w:b/>
        <w:color w:val="266777" w:themeColor="accent5" w:themeShade="95"/>
      </w:rPr>
    </w:tblStylePr>
    <w:tblStylePr w:type="firstRow">
      <w:rPr>
        <w:b/>
        <w:color w:val="266777" w:themeColor="accent5" w:themeShade="95"/>
      </w:rPr>
      <w:tcPr>
        <w:tcBorders>
          <w:bottom w:val="single" w:color="000000" w:themeColor="accent5" w:sz="12" w:space="0"/>
        </w:tcBorders>
      </w:tcPr>
    </w:tblStylePr>
    <w:tblStylePr w:type="lastCol">
      <w:rPr>
        <w:b/>
        <w:color w:val="266777" w:themeColor="accent5" w:themeShade="95"/>
      </w:rPr>
    </w:tblStylePr>
    <w:tblStylePr w:type="lastRow">
      <w:rPr>
        <w:b/>
        <w:color w:val="266777" w:themeColor="accent5" w:themeShade="95"/>
      </w:rPr>
    </w:tblStylePr>
    <w:tblStylePr w:type="wholeTable">
      <w:rPr>
        <w:rFonts w:ascii="Arial" w:hAnsi="Arial"/>
        <w:color w:val="404040" w:themeColor="accent5" w:themeShade="95"/>
        <w:sz w:val="22"/>
      </w:rPr>
    </w:tblStylePr>
  </w:style>
  <w:style w:type="table" w:styleId="838">
    <w:name w:val="Grid Table 6 Colorful - Accent 6"/>
    <w:uiPriority w:val="99"/>
    <w:pPr>
      <w:spacing w:after="0" w:line="240" w:lineRule="auto"/>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themeColor="accent5" w:themeShade="95"/>
        <w:sz w:val="22"/>
      </w:rPr>
      <w:tcPr>
        <w:shd w:val="clear" w:color="ffffff" w:themeColor="accent6" w:themeTint="34" w:fill="fde9d8" w:themeFill="accent6" w:themeFillTint="34"/>
      </w:tcPr>
    </w:tblStylePr>
    <w:tblStylePr w:type="band1Vert">
      <w:tcPr>
        <w:shd w:val="clear" w:color="ffffff" w:themeColor="accent6" w:themeTint="34" w:fill="fde9d8" w:themeFill="accent6" w:themeFillTint="34"/>
      </w:tcPr>
    </w:tblStylePr>
    <w:tblStylePr w:type="band2Horz">
      <w:rPr>
        <w:rFonts w:ascii="Arial" w:hAnsi="Arial"/>
        <w:color w:val="404040" w:themeColor="accent5" w:themeShade="95"/>
        <w:sz w:val="22"/>
      </w:rPr>
    </w:tblStylePr>
    <w:tblStylePr w:type="firstCol">
      <w:rPr>
        <w:b/>
        <w:color w:val="266777" w:themeColor="accent5" w:themeShade="95"/>
      </w:rPr>
    </w:tblStylePr>
    <w:tblStylePr w:type="firstRow">
      <w:rPr>
        <w:b/>
        <w:color w:val="266777" w:themeColor="accent5" w:themeShade="95"/>
      </w:rPr>
      <w:tcPr>
        <w:tcBorders>
          <w:bottom w:val="single" w:color="000000" w:themeColor="accent6" w:sz="12" w:space="0"/>
        </w:tcBorders>
      </w:tcPr>
    </w:tblStylePr>
    <w:tblStylePr w:type="lastCol">
      <w:rPr>
        <w:b/>
        <w:color w:val="266777" w:themeColor="accent5" w:themeShade="95"/>
      </w:rPr>
    </w:tblStylePr>
    <w:tblStylePr w:type="lastRow">
      <w:rPr>
        <w:b/>
        <w:color w:val="266777" w:themeColor="accent5" w:themeShade="95"/>
      </w:rPr>
    </w:tblStylePr>
    <w:tblStylePr w:type="wholeTable">
      <w:rPr>
        <w:rFonts w:ascii="Arial" w:hAnsi="Arial"/>
        <w:color w:val="404040" w:themeColor="accent5" w:themeShade="95"/>
        <w:sz w:val="22"/>
      </w:rPr>
    </w:tblStylePr>
  </w:style>
  <w:style w:type="table" w:styleId="839">
    <w:name w:val="Grid Table 7 Colorful"/>
    <w:uiPriority w:val="99"/>
    <w:pPr>
      <w:spacing w:after="0" w:line="240" w:lineRule="auto"/>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b/>
        <w:color w:val="4a4a4a" w:themeColor="text1" w:themeTint="80" w:themeShade="95"/>
        <w:sz w:val="22"/>
      </w:r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b/>
        <w:color w:val="4a4a4a" w:themeColor="text1" w:themeTint="80" w:themeShade="95"/>
        <w:sz w:val="22"/>
      </w:r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style>
  <w:style w:type="table" w:styleId="840">
    <w:name w:val="Grid Table 7 Colorful - Accent 1"/>
    <w:uiPriority w:val="99"/>
    <w:pPr>
      <w:spacing w:after="0" w:line="240" w:lineRule="auto"/>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3e70a3" w:themeColor="accent1" w:themeTint="80" w:themeShade="95"/>
        <w:sz w:val="22"/>
      </w:rPr>
      <w:tcPr>
        <w:shd w:val="clear" w:color="ffffff" w:themeColor="accent1" w:themeTint="34" w:fill="dae5f1" w:themeFill="accent1" w:themeFillTint="34"/>
      </w:tcPr>
    </w:tblStylePr>
    <w:tblStylePr w:type="band1Vert">
      <w:tcPr>
        <w:shd w:val="clear" w:color="ffffff" w:themeColor="accent1" w:themeTint="34" w:fill="dae5f1" w:themeFill="accent1" w:themeFillTint="34"/>
      </w:tcPr>
    </w:tblStylePr>
    <w:tblStylePr w:type="band2Horz">
      <w:rPr>
        <w:rFonts w:ascii="Arial" w:hAnsi="Arial"/>
        <w:color w:val="3e70a3" w:themeColor="accent1" w:themeTint="80" w:themeShade="95"/>
        <w:sz w:val="22"/>
      </w:rPr>
    </w:tblStylePr>
    <w:tblStylePr w:type="firstCol">
      <w:rPr>
        <w:rFonts w:ascii="Arial" w:hAnsi="Arial"/>
        <w:i/>
        <w:color w:val="3e70a3" w:themeColor="accen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accent1" w:themeTint="80" w:sz="4" w:space="0"/>
        </w:tcBorders>
      </w:tcPr>
    </w:tblStylePr>
    <w:tblStylePr w:type="firstRow">
      <w:rPr>
        <w:rFonts w:ascii="Arial" w:hAnsi="Arial"/>
        <w:b/>
        <w:color w:val="3e70a3" w:themeColor="accent1" w:themeTint="80" w:themeShade="95"/>
        <w:sz w:val="22"/>
      </w:rPr>
      <w:tcPr>
        <w:shd w:val="clear" w:color="ffffff" w:themeColor="light1" w:fill="ffffff" w:themeFill="light1"/>
        <w:tcBorders>
          <w:top w:val="none" w:color="000000" w:sz="4" w:space="0"/>
          <w:left w:val="none" w:color="000000" w:sz="4" w:space="0"/>
          <w:bottom w:val="single" w:color="000000" w:themeColor="accent1" w:themeTint="80" w:sz="4" w:space="0"/>
          <w:right w:val="none" w:color="000000" w:sz="4" w:space="0"/>
        </w:tcBorders>
      </w:tcPr>
    </w:tblStylePr>
    <w:tblStylePr w:type="lastCol">
      <w:rPr>
        <w:rFonts w:ascii="Arial" w:hAnsi="Arial"/>
        <w:i/>
        <w:color w:val="3e70a3" w:themeColor="accent1" w:themeTint="80" w:themeShade="95"/>
        <w:sz w:val="22"/>
      </w:rPr>
      <w:tcPr>
        <w:shd w:val="clear" w:color="ffffff"/>
        <w:tcBorders>
          <w:top w:val="none" w:color="000000" w:sz="4" w:space="0"/>
          <w:left w:val="single" w:color="000000" w:themeColor="accent1" w:themeTint="80" w:sz="4" w:space="0"/>
          <w:bottom w:val="none" w:color="000000" w:sz="4" w:space="0"/>
          <w:right w:val="none" w:color="000000" w:sz="4" w:space="0"/>
        </w:tcBorders>
      </w:tcPr>
    </w:tblStylePr>
    <w:tblStylePr w:type="lastRow">
      <w:rPr>
        <w:rFonts w:ascii="Arial" w:hAnsi="Arial"/>
        <w:b/>
        <w:color w:val="3e70a3" w:themeColor="accent1" w:themeTint="80" w:themeShade="95"/>
        <w:sz w:val="22"/>
      </w:rPr>
      <w:tcPr>
        <w:shd w:val="clear" w:color="ffffff" w:themeColor="light1" w:fill="ffffff" w:themeFill="light1"/>
        <w:tcBorders>
          <w:top w:val="single" w:color="000000" w:themeColor="accent1" w:themeTint="80" w:sz="4" w:space="0"/>
          <w:left w:val="none" w:color="000000" w:sz="4" w:space="0"/>
          <w:bottom w:val="none" w:color="000000" w:sz="4" w:space="0"/>
          <w:right w:val="none" w:color="000000" w:sz="4" w:space="0"/>
        </w:tcBorders>
      </w:tcPr>
    </w:tblStylePr>
  </w:style>
  <w:style w:type="table" w:styleId="841">
    <w:name w:val="Grid Table 7 Colorful - Accent 2"/>
    <w:uiPriority w:val="99"/>
    <w:pPr>
      <w:spacing w:after="0" w:line="240" w:lineRule="auto"/>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9c3a37" w:themeColor="accent2" w:themeTint="97" w:themeShade="95"/>
        <w:sz w:val="22"/>
      </w:rPr>
      <w:tcPr>
        <w:shd w:val="clear" w:color="ffffff" w:themeColor="accent2" w:themeTint="32" w:fill="f2dcdb" w:themeFill="accent2" w:themeFillTint="32"/>
      </w:tcPr>
    </w:tblStylePr>
    <w:tblStylePr w:type="band1Vert">
      <w:tcPr>
        <w:shd w:val="clear" w:color="ffffff" w:themeColor="accent2" w:themeTint="32" w:fill="f2dcdb" w:themeFill="accent2" w:themeFillTint="32"/>
      </w:tcPr>
    </w:tblStylePr>
    <w:tblStylePr w:type="band2Horz">
      <w:rPr>
        <w:rFonts w:ascii="Arial" w:hAnsi="Arial"/>
        <w:color w:val="9c3a37" w:themeColor="accent2" w:themeTint="97" w:themeShade="95"/>
        <w:sz w:val="22"/>
      </w:rPr>
    </w:tblStylePr>
    <w:tblStylePr w:type="firstCol">
      <w:rPr>
        <w:rFonts w:ascii="Arial" w:hAnsi="Arial"/>
        <w:i/>
        <w:color w:val="9c3a37" w:themeColor="accent2" w:themeTint="97" w:themeShade="95"/>
        <w:sz w:val="22"/>
      </w:rPr>
      <w:pPr>
        <w:jc w:val="right"/>
      </w:p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b/>
        <w:color w:val="9c3a37" w:themeColor="accent2" w:themeTint="97" w:themeShade="95"/>
        <w:sz w:val="22"/>
      </w:r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c3a37" w:themeColor="accent2" w:themeTint="97" w:themeShade="95"/>
        <w:sz w:val="22"/>
      </w:r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b/>
        <w:color w:val="9c3a37" w:themeColor="accent2" w:themeTint="97" w:themeShade="95"/>
        <w:sz w:val="22"/>
      </w:r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style>
  <w:style w:type="table" w:styleId="842">
    <w:name w:val="Grid Table 7 Colorful - Accent 3"/>
    <w:uiPriority w:val="99"/>
    <w:pPr>
      <w:spacing w:after="0" w:line="240" w:lineRule="auto"/>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5c702f" w:themeColor="accent3" w:themeTint="FE" w:themeShade="95"/>
        <w:sz w:val="22"/>
      </w:rPr>
      <w:tcPr>
        <w:shd w:val="clear" w:color="ffffff" w:themeColor="accent3" w:themeTint="34" w:fill="eaf0dd" w:themeFill="accent3" w:themeFillTint="34"/>
      </w:tcPr>
    </w:tblStylePr>
    <w:tblStylePr w:type="band1Vert">
      <w:tcPr>
        <w:shd w:val="clear" w:color="ffffff" w:themeColor="accent3" w:themeTint="34" w:fill="eaf0dd" w:themeFill="accent3" w:themeFillTint="34"/>
      </w:tcPr>
    </w:tblStylePr>
    <w:tblStylePr w:type="band2Horz">
      <w:rPr>
        <w:rFonts w:ascii="Arial" w:hAnsi="Arial"/>
        <w:color w:val="5c702f" w:themeColor="accent3" w:themeTint="FE" w:themeShade="95"/>
        <w:sz w:val="22"/>
      </w:rPr>
    </w:tblStylePr>
    <w:tblStylePr w:type="firstCol">
      <w:rPr>
        <w:rFonts w:ascii="Arial" w:hAnsi="Arial"/>
        <w:i/>
        <w:color w:val="5c702f" w:themeColor="accent3" w:themeTint="FE" w:themeShade="95"/>
        <w:sz w:val="22"/>
      </w:rPr>
      <w:pPr>
        <w:jc w:val="right"/>
      </w:pPr>
      <w:tcPr>
        <w:shd w:val="clear" w:color="ffffff"/>
        <w:tcBorders>
          <w:top w:val="none" w:color="000000" w:sz="4" w:space="0"/>
          <w:left w:val="none" w:color="000000" w:sz="4" w:space="0"/>
          <w:bottom w:val="none" w:color="000000" w:sz="4" w:space="0"/>
          <w:right w:val="single" w:color="000000" w:themeColor="accent3" w:themeTint="FE" w:sz="4" w:space="0"/>
        </w:tcBorders>
      </w:tcPr>
    </w:tblStylePr>
    <w:tblStylePr w:type="firstRow">
      <w:rPr>
        <w:rFonts w:ascii="Arial" w:hAnsi="Arial"/>
        <w:b/>
        <w:color w:val="5c702f" w:themeColor="accent3" w:themeTint="FE" w:themeShade="95"/>
        <w:sz w:val="22"/>
      </w:rPr>
      <w:tcPr>
        <w:shd w:val="clear" w:color="ffffff" w:themeColor="light1" w:fill="ffffff" w:themeFill="light1"/>
        <w:tcBorders>
          <w:top w:val="none" w:color="000000" w:sz="4" w:space="0"/>
          <w:left w:val="none" w:color="000000" w:sz="4" w:space="0"/>
          <w:bottom w:val="single" w:color="000000" w:themeColor="accent3" w:themeTint="FE" w:sz="4" w:space="0"/>
          <w:right w:val="none" w:color="000000" w:sz="4" w:space="0"/>
        </w:tcBorders>
      </w:tcPr>
    </w:tblStylePr>
    <w:tblStylePr w:type="lastCol">
      <w:rPr>
        <w:rFonts w:ascii="Arial" w:hAnsi="Arial"/>
        <w:i/>
        <w:color w:val="5c702f" w:themeColor="accent3" w:themeTint="FE" w:themeShade="95"/>
        <w:sz w:val="22"/>
      </w:rPr>
      <w:tcPr>
        <w:shd w:val="clear" w:color="ffffff"/>
        <w:tcBorders>
          <w:top w:val="none" w:color="000000" w:sz="4" w:space="0"/>
          <w:left w:val="single" w:color="000000" w:themeColor="accent3" w:themeTint="FE" w:sz="4" w:space="0"/>
          <w:bottom w:val="none" w:color="000000" w:sz="4" w:space="0"/>
          <w:right w:val="none" w:color="000000" w:sz="4" w:space="0"/>
        </w:tcBorders>
      </w:tcPr>
    </w:tblStylePr>
    <w:tblStylePr w:type="lastRow">
      <w:rPr>
        <w:rFonts w:ascii="Arial" w:hAnsi="Arial"/>
        <w:b/>
        <w:color w:val="5c702f" w:themeColor="accent3" w:themeTint="FE" w:themeShade="95"/>
        <w:sz w:val="22"/>
      </w:rPr>
      <w:tcPr>
        <w:shd w:val="clear" w:color="ffffff" w:themeColor="light1" w:fill="ffffff" w:themeFill="light1"/>
        <w:tcBorders>
          <w:top w:val="single" w:color="000000" w:themeColor="accent3" w:themeTint="FE" w:sz="4" w:space="0"/>
          <w:left w:val="none" w:color="000000" w:sz="4" w:space="0"/>
          <w:bottom w:val="none" w:color="000000" w:sz="4" w:space="0"/>
          <w:right w:val="none" w:color="000000" w:sz="4" w:space="0"/>
        </w:tcBorders>
      </w:tcPr>
    </w:tblStylePr>
  </w:style>
  <w:style w:type="table" w:styleId="843">
    <w:name w:val="Grid Table 7 Colorful - Accent 4"/>
    <w:uiPriority w:val="99"/>
    <w:pPr>
      <w:spacing w:after="0" w:line="240" w:lineRule="auto"/>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664f82" w:themeColor="accent4" w:themeTint="9A" w:themeShade="95"/>
        <w:sz w:val="22"/>
      </w:rPr>
      <w:tcPr>
        <w:shd w:val="clear" w:color="ffffff" w:themeColor="accent4" w:themeTint="34" w:fill="e5dfec" w:themeFill="accent4" w:themeFillTint="34"/>
      </w:tcPr>
    </w:tblStylePr>
    <w:tblStylePr w:type="band1Vert">
      <w:tcPr>
        <w:shd w:val="clear" w:color="ffffff" w:themeColor="accent4" w:themeTint="34" w:fill="e5dfec" w:themeFill="accent4" w:themeFillTint="34"/>
      </w:tcPr>
    </w:tblStylePr>
    <w:tblStylePr w:type="band2Horz">
      <w:rPr>
        <w:rFonts w:ascii="Arial" w:hAnsi="Arial"/>
        <w:color w:val="664f82" w:themeColor="accent4" w:themeTint="9A" w:themeShade="95"/>
        <w:sz w:val="22"/>
      </w:rPr>
    </w:tblStylePr>
    <w:tblStylePr w:type="firstCol">
      <w:rPr>
        <w:rFonts w:ascii="Arial" w:hAnsi="Arial"/>
        <w:i/>
        <w:color w:val="664f82" w:themeColor="accent4"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b/>
        <w:color w:val="664f82" w:themeColor="accent4" w:themeTint="9A" w:themeShade="95"/>
        <w:sz w:val="22"/>
      </w:r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64f82" w:themeColor="accent4" w:themeTint="9A" w:themeShade="95"/>
        <w:sz w:val="22"/>
      </w:r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b/>
        <w:color w:val="664f82" w:themeColor="accent4" w:themeTint="9A" w:themeShade="95"/>
        <w:sz w:val="22"/>
      </w:r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style>
  <w:style w:type="table" w:styleId="844">
    <w:name w:val="Grid Table 7 Colorful - Accent 5"/>
    <w:uiPriority w:val="99"/>
    <w:pPr>
      <w:spacing w:after="0" w:line="240" w:lineRule="auto"/>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266777" w:themeColor="accent5" w:themeShade="95"/>
        <w:sz w:val="22"/>
      </w:rPr>
      <w:tcPr>
        <w:shd w:val="clear" w:color="ffffff" w:themeColor="accent5" w:themeTint="34" w:fill="daeef3" w:themeFill="accent5" w:themeFillTint="34"/>
      </w:tcPr>
    </w:tblStylePr>
    <w:tblStylePr w:type="band1Vert">
      <w:tcPr>
        <w:shd w:val="clear" w:color="ffffff" w:themeColor="accent5" w:themeTint="34" w:fill="daeef3" w:themeFill="accent5" w:themeFillTint="34"/>
      </w:tcPr>
    </w:tblStylePr>
    <w:tblStylePr w:type="band2Horz">
      <w:rPr>
        <w:rFonts w:ascii="Arial" w:hAnsi="Arial"/>
        <w:color w:val="266777" w:themeColor="accent5" w:themeShade="95"/>
        <w:sz w:val="22"/>
      </w:rPr>
    </w:tblStylePr>
    <w:tblStylePr w:type="firstCol">
      <w:rPr>
        <w:rFonts w:ascii="Arial" w:hAnsi="Arial"/>
        <w:i/>
        <w:color w:val="266777" w:themeColor="accent5" w:themeShade="95"/>
        <w:sz w:val="22"/>
      </w:rPr>
      <w:pPr>
        <w:jc w:val="right"/>
      </w:pPr>
      <w:tcPr>
        <w:shd w:val="clear" w:color="ffffff"/>
        <w:tcBorders>
          <w:top w:val="none" w:color="000000" w:sz="4" w:space="0"/>
          <w:left w:val="none" w:color="000000" w:sz="4" w:space="0"/>
          <w:bottom w:val="none" w:color="000000" w:sz="4" w:space="0"/>
          <w:right w:val="single" w:color="000000" w:themeColor="accent5" w:themeTint="90" w:sz="4" w:space="0"/>
        </w:tcBorders>
      </w:tcPr>
    </w:tblStylePr>
    <w:tblStylePr w:type="firstRow">
      <w:rPr>
        <w:rFonts w:ascii="Arial" w:hAnsi="Arial"/>
        <w:b/>
        <w:color w:val="266777" w:themeColor="accent5" w:themeShade="95"/>
        <w:sz w:val="22"/>
      </w:rPr>
      <w:tcPr>
        <w:shd w:val="clear" w:color="ffffff" w:themeColor="light1" w:fill="ffffff" w:themeFill="light1"/>
        <w:tcBorders>
          <w:top w:val="none" w:color="000000" w:sz="4" w:space="0"/>
          <w:left w:val="none" w:color="000000" w:sz="4" w:space="0"/>
          <w:bottom w:val="single" w:color="000000" w:themeColor="accent5" w:themeTint="90" w:sz="4" w:space="0"/>
          <w:right w:val="none" w:color="000000" w:sz="4" w:space="0"/>
        </w:tcBorders>
      </w:tcPr>
    </w:tblStylePr>
    <w:tblStylePr w:type="lastCol">
      <w:rPr>
        <w:rFonts w:ascii="Arial" w:hAnsi="Arial"/>
        <w:i/>
        <w:color w:val="266777" w:themeColor="accent5" w:themeShade="95"/>
        <w:sz w:val="22"/>
      </w:rPr>
      <w:tcPr>
        <w:shd w:val="clear" w:color="ffffff"/>
        <w:tcBorders>
          <w:top w:val="none" w:color="000000" w:sz="4" w:space="0"/>
          <w:left w:val="single" w:color="000000" w:themeColor="accent5" w:themeTint="90" w:sz="4" w:space="0"/>
          <w:bottom w:val="none" w:color="000000" w:sz="4" w:space="0"/>
          <w:right w:val="none" w:color="000000" w:sz="4" w:space="0"/>
        </w:tcBorders>
      </w:tcPr>
    </w:tblStylePr>
    <w:tblStylePr w:type="lastRow">
      <w:rPr>
        <w:rFonts w:ascii="Arial" w:hAnsi="Arial"/>
        <w:b/>
        <w:color w:val="266777" w:themeColor="accent5" w:themeShade="95"/>
        <w:sz w:val="22"/>
      </w:rPr>
      <w:tcPr>
        <w:shd w:val="clear" w:color="ffffff" w:themeColor="light1" w:fill="ffffff" w:themeFill="light1"/>
        <w:tcBorders>
          <w:top w:val="single" w:color="000000" w:themeColor="accent5" w:themeTint="90" w:sz="4" w:space="0"/>
          <w:left w:val="none" w:color="000000" w:sz="4" w:space="0"/>
          <w:bottom w:val="none" w:color="000000" w:sz="4" w:space="0"/>
          <w:right w:val="none" w:color="000000" w:sz="4" w:space="0"/>
        </w:tcBorders>
      </w:tcPr>
    </w:tblStylePr>
  </w:style>
  <w:style w:type="table" w:styleId="845">
    <w:name w:val="Grid Table 7 Colorful - Accent 6"/>
    <w:uiPriority w:val="99"/>
    <w:pPr>
      <w:spacing w:after="0" w:line="240" w:lineRule="auto"/>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b05307" w:themeColor="accent6" w:themeShade="95"/>
        <w:sz w:val="22"/>
      </w:rPr>
      <w:tcPr>
        <w:shd w:val="clear" w:color="ffffff" w:themeColor="accent6" w:themeTint="34" w:fill="fde9d8" w:themeFill="accent6" w:themeFillTint="34"/>
      </w:tcPr>
    </w:tblStylePr>
    <w:tblStylePr w:type="band1Vert">
      <w:tcPr>
        <w:shd w:val="clear" w:color="ffffff" w:themeColor="accent6" w:themeTint="34" w:fill="fde9d8" w:themeFill="accent6" w:themeFillTint="34"/>
      </w:tcPr>
    </w:tblStylePr>
    <w:tblStylePr w:type="band2Horz">
      <w:rPr>
        <w:rFonts w:ascii="Arial" w:hAnsi="Arial"/>
        <w:color w:val="b05307" w:themeColor="accent6" w:themeShade="95"/>
        <w:sz w:val="22"/>
      </w:rPr>
    </w:tblStylePr>
    <w:tblStylePr w:type="firstCol">
      <w:rPr>
        <w:rFonts w:ascii="Arial" w:hAnsi="Arial"/>
        <w:i/>
        <w:color w:val="b05307" w:themeColor="accent6" w:themeShade="95"/>
        <w:sz w:val="22"/>
      </w:rPr>
      <w:pPr>
        <w:jc w:val="right"/>
      </w:pPr>
      <w:tcPr>
        <w:shd w:val="clear" w:color="ffffff"/>
        <w:tcBorders>
          <w:top w:val="none" w:color="000000" w:sz="4" w:space="0"/>
          <w:left w:val="none" w:color="000000" w:sz="4" w:space="0"/>
          <w:bottom w:val="none" w:color="000000" w:sz="4" w:space="0"/>
          <w:right w:val="single" w:color="000000" w:themeColor="accent6" w:themeTint="90" w:sz="4" w:space="0"/>
        </w:tcBorders>
      </w:tcPr>
    </w:tblStylePr>
    <w:tblStylePr w:type="firstRow">
      <w:rPr>
        <w:rFonts w:ascii="Arial" w:hAnsi="Arial"/>
        <w:b/>
        <w:color w:val="b05307" w:themeColor="accent6" w:themeShade="95"/>
        <w:sz w:val="22"/>
      </w:rPr>
      <w:tcPr>
        <w:shd w:val="clear" w:color="ffffff" w:themeColor="light1" w:fill="ffffff" w:themeFill="light1"/>
        <w:tcBorders>
          <w:top w:val="none" w:color="000000" w:sz="4" w:space="0"/>
          <w:left w:val="none" w:color="000000" w:sz="4" w:space="0"/>
          <w:bottom w:val="single" w:color="000000" w:themeColor="accent6" w:themeTint="90" w:sz="4" w:space="0"/>
          <w:right w:val="none" w:color="000000" w:sz="4" w:space="0"/>
        </w:tcBorders>
      </w:tcPr>
    </w:tblStylePr>
    <w:tblStylePr w:type="lastCol">
      <w:rPr>
        <w:rFonts w:ascii="Arial" w:hAnsi="Arial"/>
        <w:i/>
        <w:color w:val="b05307" w:themeColor="accent6" w:themeShade="95"/>
        <w:sz w:val="22"/>
      </w:rPr>
      <w:tcPr>
        <w:shd w:val="clear" w:color="ffffff"/>
        <w:tcBorders>
          <w:top w:val="none" w:color="000000" w:sz="4" w:space="0"/>
          <w:left w:val="single" w:color="000000" w:themeColor="accent6" w:themeTint="90" w:sz="4" w:space="0"/>
          <w:bottom w:val="none" w:color="000000" w:sz="4" w:space="0"/>
          <w:right w:val="none" w:color="000000" w:sz="4" w:space="0"/>
        </w:tcBorders>
      </w:tcPr>
    </w:tblStylePr>
    <w:tblStylePr w:type="lastRow">
      <w:rPr>
        <w:rFonts w:ascii="Arial" w:hAnsi="Arial"/>
        <w:b/>
        <w:color w:val="b05307" w:themeColor="accent6" w:themeShade="95"/>
        <w:sz w:val="22"/>
      </w:rPr>
      <w:tcPr>
        <w:shd w:val="clear" w:color="ffffff" w:themeColor="light1" w:fill="ffffff" w:themeFill="light1"/>
        <w:tcBorders>
          <w:top w:val="single" w:color="000000" w:themeColor="accent6" w:themeTint="90" w:sz="4" w:space="0"/>
          <w:left w:val="none" w:color="000000" w:sz="4" w:space="0"/>
          <w:bottom w:val="none" w:color="000000" w:sz="4" w:space="0"/>
          <w:right w:val="none" w:color="000000" w:sz="4" w:space="0"/>
        </w:tcBorders>
      </w:tcPr>
    </w:tblStylePr>
  </w:style>
  <w:style w:type="table" w:styleId="846">
    <w:name w:val="List Table 1 Light"/>
    <w:uiPriority w:val="99"/>
    <w:pPr>
      <w:spacing w:after="0" w:line="240" w:lineRule="auto"/>
    </w:pPr>
    <w:tblPr>
      <w:tblStyleRowBandSize w:val="1"/>
      <w:tblStyleColBandSize w:val="1"/>
      <w:tblInd w:w="0" w:type="dxa"/>
    </w:tblPr>
    <w:tblStylePr w:type="band1Horz">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tblStylePr>
    <w:tblStylePr w:type="lastRow">
      <w:rPr>
        <w:b/>
        <w:color w:val="404040"/>
      </w:rPr>
      <w:tcPr>
        <w:tcBorders>
          <w:top w:val="single" w:color="000000" w:themeColor="text1" w:sz="4" w:space="0"/>
          <w:left w:val="none" w:color="000000" w:sz="4" w:space="0"/>
          <w:bottom w:val="none" w:color="000000" w:sz="4" w:space="0"/>
          <w:right w:val="none" w:color="000000" w:sz="4" w:space="0"/>
        </w:tcBorders>
      </w:tcPr>
    </w:tblStylePr>
  </w:style>
  <w:style w:type="table" w:styleId="847">
    <w:name w:val="List Table 1 Light - Accent 1"/>
    <w:uiPriority w:val="99"/>
    <w:pPr>
      <w:spacing w:after="0" w:line="240" w:lineRule="auto"/>
    </w:pPr>
    <w:tblPr>
      <w:tblStyleRowBandSize w:val="1"/>
      <w:tblStyleColBandSize w:val="1"/>
      <w:tblInd w:w="0" w:type="dxa"/>
    </w:tblPr>
    <w:tblStylePr w:type="band1Horz">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tblStylePr>
    <w:tblStylePr w:type="lastRow">
      <w:rPr>
        <w:b/>
        <w:color w:val="404040"/>
      </w:rPr>
      <w:tcPr>
        <w:tcBorders>
          <w:top w:val="single" w:color="000000" w:themeColor="accent1" w:sz="4" w:space="0"/>
          <w:left w:val="none" w:color="000000" w:sz="4" w:space="0"/>
          <w:bottom w:val="none" w:color="000000" w:sz="4" w:space="0"/>
          <w:right w:val="none" w:color="000000" w:sz="4" w:space="0"/>
        </w:tcBorders>
      </w:tcPr>
    </w:tblStylePr>
  </w:style>
  <w:style w:type="table" w:styleId="848">
    <w:name w:val="List Table 1 Light - Accent 2"/>
    <w:uiPriority w:val="99"/>
    <w:pPr>
      <w:spacing w:after="0" w:line="240" w:lineRule="auto"/>
    </w:pPr>
    <w:tblPr>
      <w:tblStyleRowBandSize w:val="1"/>
      <w:tblStyleColBandSize w:val="1"/>
      <w:tblInd w:w="0" w:type="dxa"/>
    </w:tblPr>
    <w:tblStylePr w:type="band1Horz">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tblStylePr>
    <w:tblStylePr w:type="lastRow">
      <w:rPr>
        <w:b/>
        <w:color w:val="404040"/>
      </w:rPr>
      <w:tcPr>
        <w:tcBorders>
          <w:top w:val="single" w:color="000000" w:themeColor="accent2" w:sz="4" w:space="0"/>
          <w:left w:val="none" w:color="000000" w:sz="4" w:space="0"/>
          <w:bottom w:val="none" w:color="000000" w:sz="4" w:space="0"/>
          <w:right w:val="none" w:color="000000" w:sz="4" w:space="0"/>
        </w:tcBorders>
      </w:tcPr>
    </w:tblStylePr>
  </w:style>
  <w:style w:type="table" w:styleId="849">
    <w:name w:val="List Table 1 Light - Accent 3"/>
    <w:uiPriority w:val="99"/>
    <w:pPr>
      <w:spacing w:after="0" w:line="240" w:lineRule="auto"/>
    </w:pPr>
    <w:tblPr>
      <w:tblStyleRowBandSize w:val="1"/>
      <w:tblStyleColBandSize w:val="1"/>
      <w:tblInd w:w="0" w:type="dxa"/>
    </w:tblPr>
    <w:tblStylePr w:type="band1Horz">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tblStylePr>
    <w:tblStylePr w:type="lastRow">
      <w:rPr>
        <w:b/>
        <w:color w:val="404040"/>
      </w:rPr>
      <w:tcPr>
        <w:tcBorders>
          <w:top w:val="single" w:color="000000" w:themeColor="accent3" w:sz="4" w:space="0"/>
          <w:left w:val="none" w:color="000000" w:sz="4" w:space="0"/>
          <w:bottom w:val="none" w:color="000000" w:sz="4" w:space="0"/>
          <w:right w:val="none" w:color="000000" w:sz="4" w:space="0"/>
        </w:tcBorders>
      </w:tcPr>
    </w:tblStylePr>
  </w:style>
  <w:style w:type="table" w:styleId="850">
    <w:name w:val="List Table 1 Light - Accent 4"/>
    <w:uiPriority w:val="99"/>
    <w:pPr>
      <w:spacing w:after="0" w:line="240" w:lineRule="auto"/>
    </w:pPr>
    <w:tblPr>
      <w:tblStyleRowBandSize w:val="1"/>
      <w:tblStyleColBandSize w:val="1"/>
      <w:tblInd w:w="0" w:type="dxa"/>
    </w:tblPr>
    <w:tblStylePr w:type="band1Horz">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tblStylePr>
    <w:tblStylePr w:type="lastRow">
      <w:rPr>
        <w:b/>
        <w:color w:val="404040"/>
      </w:rPr>
      <w:tcPr>
        <w:tcBorders>
          <w:top w:val="single" w:color="000000" w:themeColor="accent4" w:sz="4" w:space="0"/>
          <w:left w:val="none" w:color="000000" w:sz="4" w:space="0"/>
          <w:bottom w:val="none" w:color="000000" w:sz="4" w:space="0"/>
          <w:right w:val="none" w:color="000000" w:sz="4" w:space="0"/>
        </w:tcBorders>
      </w:tcPr>
    </w:tblStylePr>
  </w:style>
  <w:style w:type="table" w:styleId="851">
    <w:name w:val="List Table 1 Light - Accent 5"/>
    <w:uiPriority w:val="99"/>
    <w:pPr>
      <w:spacing w:after="0" w:line="240" w:lineRule="auto"/>
    </w:pPr>
    <w:tblPr>
      <w:tblStyleRowBandSize w:val="1"/>
      <w:tblStyleColBandSize w:val="1"/>
      <w:tblInd w:w="0" w:type="dxa"/>
    </w:tblPr>
    <w:tblStylePr w:type="band1Horz">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tblStylePr>
    <w:tblStylePr w:type="lastRow">
      <w:rPr>
        <w:b/>
        <w:color w:val="404040"/>
      </w:rPr>
      <w:tcPr>
        <w:tcBorders>
          <w:top w:val="single" w:color="000000" w:themeColor="accent5" w:sz="4" w:space="0"/>
          <w:left w:val="none" w:color="000000" w:sz="4" w:space="0"/>
          <w:bottom w:val="none" w:color="000000" w:sz="4" w:space="0"/>
          <w:right w:val="none" w:color="000000" w:sz="4" w:space="0"/>
        </w:tcBorders>
      </w:tcPr>
    </w:tblStylePr>
  </w:style>
  <w:style w:type="table" w:styleId="852">
    <w:name w:val="List Table 1 Light - Accent 6"/>
    <w:uiPriority w:val="99"/>
    <w:pPr>
      <w:spacing w:after="0" w:line="240" w:lineRule="auto"/>
    </w:pPr>
    <w:tblPr>
      <w:tblStyleRowBandSize w:val="1"/>
      <w:tblStyleColBandSize w:val="1"/>
      <w:tblInd w:w="0" w:type="dxa"/>
    </w:tblPr>
    <w:tblStylePr w:type="band1Horz">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tblStylePr>
    <w:tblStylePr w:type="lastRow">
      <w:rPr>
        <w:b/>
        <w:color w:val="404040"/>
      </w:rPr>
      <w:tcPr>
        <w:tcBorders>
          <w:top w:val="single" w:color="000000" w:themeColor="accent6" w:sz="4" w:space="0"/>
          <w:left w:val="none" w:color="000000" w:sz="4" w:space="0"/>
          <w:bottom w:val="none" w:color="000000" w:sz="4" w:space="0"/>
          <w:right w:val="none" w:color="000000" w:sz="4" w:space="0"/>
        </w:tcBorders>
      </w:tcPr>
    </w:tblStylePr>
  </w:style>
  <w:style w:type="table" w:styleId="853">
    <w:name w:val="List Table 2"/>
    <w:uiPriority w:val="99"/>
    <w:pPr>
      <w:spacing w:after="0" w:line="240" w:lineRule="auto"/>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style>
  <w:style w:type="table" w:styleId="854">
    <w:name w:val="List Table 2 - Accent 1"/>
    <w:uiPriority w:val="99"/>
    <w:pPr>
      <w:spacing w:after="0" w:line="240" w:lineRule="auto"/>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d3e0ee" w:themeFill="accent1" w:themeFillTint="40"/>
      </w:tcPr>
    </w:tblStylePr>
    <w:tblStylePr w:type="band1Vert">
      <w:rPr>
        <w:rFonts w:ascii="Arial" w:hAnsi="Arial"/>
        <w:color w:val="404040"/>
        <w:sz w:val="22"/>
      </w:rPr>
      <w:tcPr>
        <w:shd w:val="clear" w:color="ffffff" w:themeColor="accent1" w:themeTint="40" w:fill="d3e0ee" w:themeFill="accen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style>
  <w:style w:type="table" w:styleId="855">
    <w:name w:val="List Table 2 - Accent 2"/>
    <w:uiPriority w:val="99"/>
    <w:pPr>
      <w:spacing w:after="0" w:line="240" w:lineRule="auto"/>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efd3d2" w:themeFill="accent2" w:themeFillTint="40"/>
      </w:tcPr>
    </w:tblStylePr>
    <w:tblStylePr w:type="band1Vert">
      <w:rPr>
        <w:rFonts w:ascii="Arial" w:hAnsi="Arial"/>
        <w:color w:val="404040"/>
        <w:sz w:val="22"/>
      </w:rPr>
      <w:tcPr>
        <w:shd w:val="clear" w:color="ffffff" w:themeColor="accent2" w:themeTint="40" w:fill="efd3d2" w:themeFill="accent2"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style>
  <w:style w:type="table" w:styleId="856">
    <w:name w:val="List Table 2 - Accent 3"/>
    <w:uiPriority w:val="99"/>
    <w:pPr>
      <w:spacing w:after="0" w:line="240" w:lineRule="auto"/>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6eed5" w:themeFill="accent3" w:themeFillTint="40"/>
      </w:tcPr>
    </w:tblStylePr>
    <w:tblStylePr w:type="band1Vert">
      <w:rPr>
        <w:rFonts w:ascii="Arial" w:hAnsi="Arial"/>
        <w:color w:val="404040"/>
        <w:sz w:val="22"/>
      </w:rPr>
      <w:tcPr>
        <w:shd w:val="clear" w:color="ffffff" w:themeColor="accent3" w:themeTint="40" w:fill="e6eed5" w:themeFill="accent3"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style>
  <w:style w:type="table" w:styleId="857">
    <w:name w:val="List Table 2 - Accent 4"/>
    <w:uiPriority w:val="99"/>
    <w:pPr>
      <w:spacing w:after="0" w:line="240" w:lineRule="auto"/>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dfd8e7" w:themeFill="accent4" w:themeFillTint="40"/>
      </w:tcPr>
    </w:tblStylePr>
    <w:tblStylePr w:type="band1Vert">
      <w:rPr>
        <w:rFonts w:ascii="Arial" w:hAnsi="Arial"/>
        <w:color w:val="404040"/>
        <w:sz w:val="22"/>
      </w:rPr>
      <w:tcPr>
        <w:shd w:val="clear" w:color="ffffff" w:themeColor="accent4" w:themeTint="40" w:fill="dfd8e7" w:themeFill="accent4"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style>
  <w:style w:type="table" w:styleId="858">
    <w:name w:val="List Table 2 - Accent 5"/>
    <w:uiPriority w:val="99"/>
    <w:pPr>
      <w:spacing w:after="0" w:line="240" w:lineRule="auto"/>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d1eaf0" w:themeFill="accent5" w:themeFillTint="40"/>
      </w:tcPr>
    </w:tblStylePr>
    <w:tblStylePr w:type="band1Vert">
      <w:rPr>
        <w:rFonts w:ascii="Arial" w:hAnsi="Arial"/>
        <w:color w:val="404040"/>
        <w:sz w:val="22"/>
      </w:rPr>
      <w:tcPr>
        <w:shd w:val="clear" w:color="ffffff" w:themeColor="accent5" w:themeTint="40" w:fill="d1eaf0" w:themeFill="accent5"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style>
  <w:style w:type="table" w:styleId="859">
    <w:name w:val="List Table 2 - Accent 6"/>
    <w:uiPriority w:val="99"/>
    <w:pPr>
      <w:spacing w:after="0" w:line="240" w:lineRule="auto"/>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fce4d1" w:themeFill="accent6" w:themeFillTint="40"/>
      </w:tcPr>
    </w:tblStylePr>
    <w:tblStylePr w:type="band1Vert">
      <w:rPr>
        <w:rFonts w:ascii="Arial" w:hAnsi="Arial"/>
        <w:color w:val="404040"/>
        <w:sz w:val="22"/>
      </w:rPr>
      <w:tcPr>
        <w:shd w:val="clear" w:color="ffffff" w:themeColor="accent6" w:themeTint="40" w:fill="fce4d1" w:themeFill="accent6"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style>
  <w:style w:type="table" w:styleId="860">
    <w:name w:val="List Table 3"/>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band1Horz">
      <w:rPr>
        <w:rFonts w:ascii="Arial" w:hAnsi="Arial"/>
        <w:color w:val="404040"/>
        <w:sz w:val="22"/>
      </w:rPr>
      <w:tcPr>
        <w:tcBorders>
          <w:top w:val="single" w:color="000000" w:themeColor="text1" w:sz="4" w:space="0"/>
          <w:bottom w:val="single" w:color="000000" w:themeColor="text1" w:sz="4" w:space="0"/>
        </w:tcBorders>
      </w:tc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861">
    <w:name w:val="List Table 3 - Accent 1"/>
    <w:uiPriority w:val="99"/>
    <w:pPr>
      <w:spacing w:after="0" w:line="240" w:lineRule="auto"/>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blStylePr w:type="band1Horz">
      <w:rPr>
        <w:rFonts w:ascii="Arial" w:hAnsi="Arial"/>
        <w:color w:val="404040"/>
        <w:sz w:val="22"/>
      </w:rPr>
      <w:tcPr>
        <w:tcBorders>
          <w:top w:val="single" w:color="000000" w:themeColor="accent1" w:sz="4" w:space="0"/>
          <w:bottom w:val="single" w:color="000000" w:themeColor="accent1" w:sz="4" w:space="0"/>
        </w:tcBorders>
      </w:tcPr>
    </w:tblStylePr>
    <w:tblStylePr w:type="band1Vert">
      <w:rPr>
        <w:rFonts w:ascii="Arial" w:hAnsi="Arial"/>
        <w:color w:val="404040"/>
        <w:sz w:val="22"/>
      </w:rPr>
      <w:tcPr>
        <w:tcBorders>
          <w:left w:val="single" w:color="000000" w:themeColor="accent1" w:sz="4" w:space="0"/>
          <w:right w:val="single" w:color="000000" w:themeColor="accent1" w:sz="4" w:space="0"/>
        </w:tcBorders>
      </w:tcPr>
    </w:tblStylePr>
    <w:tblStylePr w:type="firstCol">
      <w:rPr>
        <w:b/>
        <w:color w:val="404040"/>
      </w:rPr>
    </w:tblStylePr>
    <w:tblStylePr w:type="firstRow">
      <w:rPr>
        <w:rFonts w:ascii="Arial" w:hAnsi="Arial"/>
        <w:b/>
        <w:color w:val="ffffff"/>
        <w:sz w:val="22"/>
      </w:rPr>
      <w:tcPr>
        <w:shd w:val="clear" w:color="ffffff" w:themeColor="accent1" w:fill="4f81bd" w:themeFill="accent1"/>
      </w:tcPr>
    </w:tblStylePr>
    <w:tblStylePr w:type="lastCol">
      <w:rPr>
        <w:b/>
        <w:color w:val="404040"/>
      </w:rPr>
    </w:tblStylePr>
    <w:tblStylePr w:type="lastRow">
      <w:rPr>
        <w:b/>
        <w:color w:val="404040"/>
      </w:rPr>
    </w:tblStylePr>
  </w:style>
  <w:style w:type="table" w:styleId="862">
    <w:name w:val="List Table 3 - Accent 2"/>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blStylePr w:type="band1Horz">
      <w:rPr>
        <w:rFonts w:ascii="Arial" w:hAnsi="Arial"/>
        <w:color w:val="404040"/>
        <w:sz w:val="22"/>
      </w:r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tcPr>
        <w:tcBorders>
          <w:left w:val="single" w:color="000000" w:themeColor="accent2" w:themeTint="97" w:sz="4" w:space="0"/>
          <w:right w:val="single" w:color="000000" w:themeColor="accent2" w:themeTint="97" w:sz="4" w:space="0"/>
        </w:tcBorders>
      </w:tcPr>
    </w:tblStylePr>
    <w:tblStylePr w:type="firstCol">
      <w:rPr>
        <w:b/>
        <w:color w:val="404040"/>
      </w:rPr>
    </w:tblStylePr>
    <w:tblStylePr w:type="firstRow">
      <w:rPr>
        <w:rFonts w:ascii="Arial" w:hAnsi="Arial"/>
        <w:b/>
        <w:color w:val="ffffff"/>
        <w:sz w:val="22"/>
      </w:rPr>
      <w:tcPr>
        <w:shd w:val="clear" w:color="ffffff" w:themeColor="accent2" w:themeTint="97" w:fill="d99694" w:themeFill="accent2" w:themeFillTint="97"/>
      </w:tcPr>
    </w:tblStylePr>
    <w:tblStylePr w:type="lastCol">
      <w:rPr>
        <w:b/>
        <w:color w:val="404040"/>
      </w:rPr>
    </w:tblStylePr>
    <w:tblStylePr w:type="lastRow">
      <w:rPr>
        <w:b/>
        <w:color w:val="404040"/>
      </w:rPr>
    </w:tblStylePr>
  </w:style>
  <w:style w:type="table" w:styleId="863">
    <w:name w:val="List Table 3 - Accent 3"/>
    <w:uiPriority w:val="99"/>
    <w:pPr>
      <w:spacing w:after="0" w:line="240" w:lineRule="auto"/>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blStylePr w:type="band1Horz">
      <w:rPr>
        <w:rFonts w:ascii="Arial" w:hAnsi="Arial"/>
        <w:color w:val="404040"/>
        <w:sz w:val="22"/>
      </w:r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tcPr>
        <w:tcBorders>
          <w:left w:val="single" w:color="000000" w:themeColor="accent3" w:themeTint="98" w:sz="4" w:space="0"/>
          <w:right w:val="single" w:color="000000" w:themeColor="accent3" w:themeTint="98" w:sz="4" w:space="0"/>
        </w:tcBorders>
      </w:tcPr>
    </w:tblStylePr>
    <w:tblStylePr w:type="firstCol">
      <w:rPr>
        <w:b/>
        <w:color w:val="404040"/>
      </w:rPr>
    </w:tblStylePr>
    <w:tblStylePr w:type="firstRow">
      <w:rPr>
        <w:rFonts w:ascii="Arial" w:hAnsi="Arial"/>
        <w:b/>
        <w:color w:val="ffffff"/>
        <w:sz w:val="22"/>
      </w:rPr>
      <w:tcPr>
        <w:shd w:val="clear" w:color="ffffff" w:themeColor="accent3" w:themeTint="98" w:fill="c3d69b" w:themeFill="accent3" w:themeFillTint="98"/>
      </w:tcPr>
    </w:tblStylePr>
    <w:tblStylePr w:type="lastCol">
      <w:rPr>
        <w:b/>
        <w:color w:val="404040"/>
      </w:rPr>
    </w:tblStylePr>
    <w:tblStylePr w:type="lastRow">
      <w:rPr>
        <w:b/>
        <w:color w:val="404040"/>
      </w:rPr>
    </w:tblStylePr>
  </w:style>
  <w:style w:type="table" w:styleId="864">
    <w:name w:val="List Table 3 - Accent 4"/>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blStylePr w:type="band1Horz">
      <w:rPr>
        <w:rFonts w:ascii="Arial" w:hAnsi="Arial"/>
        <w:color w:val="404040"/>
        <w:sz w:val="22"/>
      </w:r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tcPr>
        <w:tcBorders>
          <w:left w:val="single" w:color="000000" w:themeColor="accent4" w:themeTint="9A" w:sz="4" w:space="0"/>
          <w:right w:val="single" w:color="000000" w:themeColor="accent4" w:themeTint="9A" w:sz="4" w:space="0"/>
        </w:tcBorders>
      </w:tcPr>
    </w:tblStylePr>
    <w:tblStylePr w:type="firstCol">
      <w:rPr>
        <w:b/>
        <w:color w:val="404040"/>
      </w:rPr>
    </w:tblStylePr>
    <w:tblStylePr w:type="firstRow">
      <w:rPr>
        <w:rFonts w:ascii="Arial" w:hAnsi="Arial"/>
        <w:b/>
        <w:color w:val="ffffff"/>
        <w:sz w:val="22"/>
      </w:rPr>
      <w:tcPr>
        <w:shd w:val="clear" w:color="ffffff" w:themeColor="accent4" w:themeTint="9A" w:fill="b2a1c6" w:themeFill="accent4" w:themeFillTint="9A"/>
      </w:tcPr>
    </w:tblStylePr>
    <w:tblStylePr w:type="lastCol">
      <w:rPr>
        <w:b/>
        <w:color w:val="404040"/>
      </w:rPr>
    </w:tblStylePr>
    <w:tblStylePr w:type="lastRow">
      <w:rPr>
        <w:b/>
        <w:color w:val="404040"/>
      </w:rPr>
    </w:tblStylePr>
  </w:style>
  <w:style w:type="table" w:styleId="865">
    <w:name w:val="List Table 3 - Accent 5"/>
    <w:uiPriority w:val="99"/>
    <w:pPr>
      <w:spacing w:after="0" w:line="240" w:lineRule="auto"/>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blStylePr w:type="band1Horz">
      <w:rPr>
        <w:rFonts w:ascii="Arial" w:hAnsi="Arial"/>
        <w:color w:val="404040"/>
        <w:sz w:val="22"/>
      </w:r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tcPr>
        <w:tcBorders>
          <w:left w:val="single" w:color="000000" w:themeColor="accent5" w:themeTint="9A" w:sz="4" w:space="0"/>
          <w:right w:val="single" w:color="000000" w:themeColor="accent5" w:themeTint="9A" w:sz="4" w:space="0"/>
        </w:tcBorders>
      </w:tcPr>
    </w:tblStylePr>
    <w:tblStylePr w:type="firstCol">
      <w:rPr>
        <w:b/>
        <w:color w:val="404040"/>
      </w:rPr>
    </w:tblStylePr>
    <w:tblStylePr w:type="firstRow">
      <w:rPr>
        <w:rFonts w:ascii="Arial" w:hAnsi="Arial"/>
        <w:b/>
        <w:color w:val="ffffff"/>
        <w:sz w:val="22"/>
      </w:rPr>
      <w:tcPr>
        <w:shd w:val="clear" w:color="ffffff" w:themeColor="accent5" w:themeTint="9A" w:fill="91cddc" w:themeFill="accent5" w:themeFillTint="9A"/>
      </w:tcPr>
    </w:tblStylePr>
    <w:tblStylePr w:type="lastCol">
      <w:rPr>
        <w:b/>
        <w:color w:val="404040"/>
      </w:rPr>
    </w:tblStylePr>
    <w:tblStylePr w:type="lastRow">
      <w:rPr>
        <w:b/>
        <w:color w:val="404040"/>
      </w:rPr>
    </w:tblStylePr>
  </w:style>
  <w:style w:type="table" w:styleId="866">
    <w:name w:val="List Table 3 - Accent 6"/>
    <w:uiPriority w:val="99"/>
    <w:pPr>
      <w:spacing w:after="0" w:line="240" w:lineRule="auto"/>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blStylePr w:type="band1Horz">
      <w:rPr>
        <w:rFonts w:ascii="Arial" w:hAnsi="Arial"/>
        <w:color w:val="404040"/>
        <w:sz w:val="22"/>
      </w:r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tcPr>
        <w:tcBorders>
          <w:left w:val="single" w:color="000000" w:themeColor="accent6" w:themeTint="98" w:sz="4" w:space="0"/>
          <w:right w:val="single" w:color="000000" w:themeColor="accent6" w:themeTint="98" w:sz="4" w:space="0"/>
        </w:tcBorders>
      </w:tcPr>
    </w:tblStylePr>
    <w:tblStylePr w:type="firstCol">
      <w:rPr>
        <w:b/>
        <w:color w:val="404040"/>
      </w:rPr>
    </w:tblStylePr>
    <w:tblStylePr w:type="firstRow">
      <w:rPr>
        <w:rFonts w:ascii="Arial" w:hAnsi="Arial"/>
        <w:b/>
        <w:color w:val="ffffff"/>
        <w:sz w:val="22"/>
      </w:rPr>
      <w:tcPr>
        <w:shd w:val="clear" w:color="ffffff" w:themeColor="accent6" w:themeTint="98" w:fill="f9bf90" w:themeFill="accent6" w:themeFillTint="98"/>
      </w:tcPr>
    </w:tblStylePr>
    <w:tblStylePr w:type="lastCol">
      <w:rPr>
        <w:b/>
        <w:color w:val="404040"/>
      </w:rPr>
    </w:tblStylePr>
    <w:tblStylePr w:type="lastRow">
      <w:rPr>
        <w:b/>
        <w:color w:val="404040"/>
      </w:rPr>
    </w:tblStylePr>
  </w:style>
  <w:style w:type="table" w:styleId="867">
    <w:name w:val="List Table 4"/>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868">
    <w:name w:val="List Table 4 - Accent 1"/>
    <w:uiPriority w:val="9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d3e0ee" w:themeFill="accent1" w:themeFillTint="40"/>
      </w:tcPr>
    </w:tblStylePr>
    <w:tblStylePr w:type="band1Vert">
      <w:rPr>
        <w:rFonts w:ascii="Arial" w:hAnsi="Arial"/>
        <w:color w:val="404040"/>
        <w:sz w:val="22"/>
      </w:rPr>
      <w:tcPr>
        <w:shd w:val="clear" w:color="ffffff" w:themeColor="accent1" w:themeTint="40" w:fill="d3e0ee" w:themeFill="accent1" w:themeFillTint="40"/>
      </w:tcPr>
    </w:tblStylePr>
    <w:tblStylePr w:type="firstCol">
      <w:rPr>
        <w:b/>
        <w:color w:val="404040"/>
      </w:rPr>
    </w:tblStylePr>
    <w:tblStylePr w:type="firstRow">
      <w:rPr>
        <w:rFonts w:ascii="Arial" w:hAnsi="Arial"/>
        <w:b/>
        <w:color w:val="ffffff"/>
        <w:sz w:val="22"/>
      </w:rPr>
      <w:tcPr>
        <w:shd w:val="clear" w:color="ffffff" w:themeColor="accent1" w:fill="4f81bd" w:themeFill="accent1"/>
      </w:tcPr>
    </w:tblStylePr>
    <w:tblStylePr w:type="lastCol">
      <w:rPr>
        <w:b/>
        <w:color w:val="404040"/>
      </w:rPr>
    </w:tblStylePr>
    <w:tblStylePr w:type="lastRow">
      <w:rPr>
        <w:b/>
        <w:color w:val="404040"/>
      </w:rPr>
    </w:tblStylePr>
  </w:style>
  <w:style w:type="table" w:styleId="869">
    <w:name w:val="List Table 4 - Accent 2"/>
    <w:uiPriority w:val="9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efd3d2" w:themeFill="accent2" w:themeFillTint="40"/>
      </w:tcPr>
    </w:tblStylePr>
    <w:tblStylePr w:type="band1Vert">
      <w:rPr>
        <w:rFonts w:ascii="Arial" w:hAnsi="Arial"/>
        <w:color w:val="404040"/>
        <w:sz w:val="22"/>
      </w:rPr>
      <w:tcPr>
        <w:shd w:val="clear" w:color="ffffff" w:themeColor="accent2" w:themeTint="40" w:fill="efd3d2" w:themeFill="accent2" w:themeFillTint="40"/>
      </w:tcPr>
    </w:tblStylePr>
    <w:tblStylePr w:type="firstCol">
      <w:rPr>
        <w:b/>
        <w:color w:val="404040"/>
      </w:rPr>
    </w:tblStylePr>
    <w:tblStylePr w:type="firstRow">
      <w:rPr>
        <w:rFonts w:ascii="Arial" w:hAnsi="Arial"/>
        <w:b/>
        <w:color w:val="ffffff"/>
        <w:sz w:val="22"/>
      </w:rPr>
      <w:tcPr>
        <w:shd w:val="clear" w:color="ffffff" w:themeColor="accent2" w:fill="c0504d" w:themeFill="accent2"/>
      </w:tcPr>
    </w:tblStylePr>
    <w:tblStylePr w:type="lastCol">
      <w:rPr>
        <w:b/>
        <w:color w:val="404040"/>
      </w:rPr>
    </w:tblStylePr>
    <w:tblStylePr w:type="lastRow">
      <w:rPr>
        <w:b/>
        <w:color w:val="404040"/>
      </w:rPr>
    </w:tblStylePr>
  </w:style>
  <w:style w:type="table" w:styleId="870">
    <w:name w:val="List Table 4 - Accent 3"/>
    <w:uiPriority w:val="9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6eed5" w:themeFill="accent3" w:themeFillTint="40"/>
      </w:tcPr>
    </w:tblStylePr>
    <w:tblStylePr w:type="band1Vert">
      <w:rPr>
        <w:rFonts w:ascii="Arial" w:hAnsi="Arial"/>
        <w:color w:val="404040"/>
        <w:sz w:val="22"/>
      </w:rPr>
      <w:tcPr>
        <w:shd w:val="clear" w:color="ffffff" w:themeColor="accent3" w:themeTint="40" w:fill="e6eed5" w:themeFill="accent3" w:themeFillTint="40"/>
      </w:tcPr>
    </w:tblStylePr>
    <w:tblStylePr w:type="firstCol">
      <w:rPr>
        <w:b/>
        <w:color w:val="404040"/>
      </w:rPr>
    </w:tblStylePr>
    <w:tblStylePr w:type="firstRow">
      <w:rPr>
        <w:rFonts w:ascii="Arial" w:hAnsi="Arial"/>
        <w:b/>
        <w:color w:val="ffffff"/>
        <w:sz w:val="22"/>
      </w:rPr>
      <w:tcPr>
        <w:shd w:val="clear" w:color="ffffff" w:themeColor="accent3" w:fill="9bbb59" w:themeFill="accent3"/>
      </w:tcPr>
    </w:tblStylePr>
    <w:tblStylePr w:type="lastCol">
      <w:rPr>
        <w:b/>
        <w:color w:val="404040"/>
      </w:rPr>
    </w:tblStylePr>
    <w:tblStylePr w:type="lastRow">
      <w:rPr>
        <w:b/>
        <w:color w:val="404040"/>
      </w:rPr>
    </w:tblStylePr>
  </w:style>
  <w:style w:type="table" w:styleId="871">
    <w:name w:val="List Table 4 - Accent 4"/>
    <w:uiPriority w:val="9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dfd8e7" w:themeFill="accent4" w:themeFillTint="40"/>
      </w:tcPr>
    </w:tblStylePr>
    <w:tblStylePr w:type="band1Vert">
      <w:rPr>
        <w:rFonts w:ascii="Arial" w:hAnsi="Arial"/>
        <w:color w:val="404040"/>
        <w:sz w:val="22"/>
      </w:rPr>
      <w:tcPr>
        <w:shd w:val="clear" w:color="ffffff" w:themeColor="accent4" w:themeTint="40" w:fill="dfd8e7" w:themeFill="accent4" w:themeFillTint="40"/>
      </w:tcPr>
    </w:tblStylePr>
    <w:tblStylePr w:type="firstCol">
      <w:rPr>
        <w:b/>
        <w:color w:val="404040"/>
      </w:rPr>
    </w:tblStylePr>
    <w:tblStylePr w:type="firstRow">
      <w:rPr>
        <w:rFonts w:ascii="Arial" w:hAnsi="Arial"/>
        <w:b/>
        <w:color w:val="ffffff"/>
        <w:sz w:val="22"/>
      </w:rPr>
      <w:tcPr>
        <w:shd w:val="clear" w:color="ffffff" w:themeColor="accent4" w:fill="8064a2" w:themeFill="accent4"/>
      </w:tcPr>
    </w:tblStylePr>
    <w:tblStylePr w:type="lastCol">
      <w:rPr>
        <w:b/>
        <w:color w:val="404040"/>
      </w:rPr>
    </w:tblStylePr>
    <w:tblStylePr w:type="lastRow">
      <w:rPr>
        <w:b/>
        <w:color w:val="404040"/>
      </w:rPr>
    </w:tblStylePr>
  </w:style>
  <w:style w:type="table" w:styleId="872">
    <w:name w:val="List Table 4 - Accent 5"/>
    <w:uiPriority w:val="9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d1eaf0" w:themeFill="accent5" w:themeFillTint="40"/>
      </w:tcPr>
    </w:tblStylePr>
    <w:tblStylePr w:type="band1Vert">
      <w:rPr>
        <w:rFonts w:ascii="Arial" w:hAnsi="Arial"/>
        <w:color w:val="404040"/>
        <w:sz w:val="22"/>
      </w:rPr>
      <w:tcPr>
        <w:shd w:val="clear" w:color="ffffff" w:themeColor="accent5" w:themeTint="40" w:fill="d1eaf0" w:themeFill="accent5" w:themeFillTint="40"/>
      </w:tcPr>
    </w:tblStylePr>
    <w:tblStylePr w:type="firstCol">
      <w:rPr>
        <w:b/>
        <w:color w:val="404040"/>
      </w:rPr>
    </w:tblStylePr>
    <w:tblStylePr w:type="firstRow">
      <w:rPr>
        <w:rFonts w:ascii="Arial" w:hAnsi="Arial"/>
        <w:b/>
        <w:color w:val="ffffff"/>
        <w:sz w:val="22"/>
      </w:rPr>
      <w:tcPr>
        <w:shd w:val="clear" w:color="ffffff" w:themeColor="accent5" w:fill="4bacc6" w:themeFill="accent5"/>
      </w:tcPr>
    </w:tblStylePr>
    <w:tblStylePr w:type="lastCol">
      <w:rPr>
        <w:b/>
        <w:color w:val="404040"/>
      </w:rPr>
    </w:tblStylePr>
    <w:tblStylePr w:type="lastRow">
      <w:rPr>
        <w:b/>
        <w:color w:val="404040"/>
      </w:rPr>
    </w:tblStylePr>
  </w:style>
  <w:style w:type="table" w:styleId="873">
    <w:name w:val="List Table 4 - Accent 6"/>
    <w:uiPriority w:val="9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fce4d1" w:themeFill="accent6" w:themeFillTint="40"/>
      </w:tcPr>
    </w:tblStylePr>
    <w:tblStylePr w:type="band1Vert">
      <w:rPr>
        <w:rFonts w:ascii="Arial" w:hAnsi="Arial"/>
        <w:color w:val="404040"/>
        <w:sz w:val="22"/>
      </w:rPr>
      <w:tcPr>
        <w:shd w:val="clear" w:color="ffffff" w:themeColor="accent6" w:themeTint="40" w:fill="fce4d1" w:themeFill="accent6" w:themeFillTint="40"/>
      </w:tcPr>
    </w:tblStylePr>
    <w:tblStylePr w:type="firstCol">
      <w:rPr>
        <w:b/>
        <w:color w:val="404040"/>
      </w:rPr>
    </w:tblStylePr>
    <w:tblStylePr w:type="firstRow">
      <w:rPr>
        <w:rFonts w:ascii="Arial" w:hAnsi="Arial"/>
        <w:b/>
        <w:color w:val="ffffff"/>
        <w:sz w:val="22"/>
      </w:rPr>
      <w:tcPr>
        <w:shd w:val="clear" w:color="ffffff" w:themeColor="accent6" w:fill="f79646" w:themeFill="accent6"/>
      </w:tcPr>
    </w:tblStylePr>
    <w:tblStylePr w:type="lastCol">
      <w:rPr>
        <w:b/>
        <w:color w:val="404040"/>
      </w:rPr>
    </w:tblStylePr>
    <w:tblStylePr w:type="lastRow">
      <w:rPr>
        <w:b/>
        <w:color w:val="404040"/>
      </w:rPr>
    </w:tblStylePr>
  </w:style>
  <w:style w:type="table" w:styleId="874">
    <w:name w:val="List Table 5 Dark"/>
    <w:uiPriority w:val="99"/>
    <w:pPr>
      <w:spacing w:after="0" w:line="240" w:lineRule="auto"/>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blStylePr w:type="band1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75">
    <w:name w:val="List Table 5 Dark - Accent 1"/>
    <w:uiPriority w:val="99"/>
    <w:pPr>
      <w:spacing w:after="0" w:line="240" w:lineRule="auto"/>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4f81bd" w:themeFill="accent1"/>
    </w:tblPr>
    <w:tblStylePr w:type="band1Horz">
      <w:tcPr>
        <w:shd w:val="clear" w:color="ffffff" w:themeColor="accent1" w:fill="4f81bd" w:themeFill="accent1"/>
        <w:tcBorders>
          <w:top w:val="single" w:color="000000" w:themeColor="light1" w:sz="4" w:space="0"/>
          <w:bottom w:val="single" w:color="000000" w:themeColor="light1" w:sz="4" w:space="0"/>
        </w:tcBorders>
      </w:tcPr>
    </w:tblStylePr>
    <w:tblStylePr w:type="band1Vert">
      <w:tcPr>
        <w:shd w:val="clear" w:color="ffffff" w:themeColor="accent1" w:fill="4f81bd" w:themeFill="accent1"/>
        <w:tcBorders>
          <w:left w:val="single" w:color="000000" w:themeColor="light1" w:sz="4" w:space="0"/>
          <w:right w:val="single" w:color="000000" w:themeColor="light1" w:sz="4" w:space="0"/>
        </w:tcBorders>
      </w:tcPr>
    </w:tblStylePr>
    <w:tblStylePr w:type="band2Horz">
      <w:tcPr>
        <w:shd w:val="clear" w:color="ffffff" w:themeColor="accent1" w:fill="4f81bd" w:themeFill="accent1"/>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tcPr>
        <w:shd w:val="clear" w:color="ffffff" w:themeColor="accent1" w:fill="4f81bd" w:themeFill="accent1"/>
        <w:tcBorders>
          <w:top w:val="single" w:color="000000" w:themeColor="accent1" w:sz="32" w:space="0"/>
          <w:bottom w:val="single" w:color="000000" w:themeColor="light1" w:sz="12" w:space="0"/>
        </w:tcBorders>
      </w:tcPr>
    </w:tblStylePr>
    <w:tblStylePr w:type="lastCol">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76">
    <w:name w:val="List Table 5 Dark - Accent 2"/>
    <w:uiPriority w:val="99"/>
    <w:pPr>
      <w:spacing w:after="0" w:line="240" w:lineRule="auto"/>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d99694" w:themeFill="accent2" w:themeFillTint="97"/>
    </w:tblPr>
    <w:tblStylePr w:type="band1Horz">
      <w:tcPr>
        <w:shd w:val="clear" w:color="ffffff" w:themeColor="accent2" w:themeTint="97" w:fill="d99694" w:themeFill="accent2" w:themeFillTint="97"/>
        <w:tcBorders>
          <w:top w:val="single" w:color="000000" w:themeColor="light1" w:sz="4" w:space="0"/>
          <w:bottom w:val="single" w:color="000000" w:themeColor="light1" w:sz="4" w:space="0"/>
        </w:tcBorders>
      </w:tcPr>
    </w:tblStylePr>
    <w:tblStylePr w:type="band1Vert">
      <w:tcPr>
        <w:shd w:val="clear" w:color="ffffff" w:themeColor="accent2" w:themeTint="97" w:fill="d99694" w:themeFill="accent2" w:themeFillTint="97"/>
        <w:tcBorders>
          <w:left w:val="single" w:color="000000" w:themeColor="light1" w:sz="4" w:space="0"/>
          <w:right w:val="single" w:color="000000" w:themeColor="light1" w:sz="4" w:space="0"/>
        </w:tcBorders>
      </w:tcPr>
    </w:tblStylePr>
    <w:tblStylePr w:type="band2Horz">
      <w:tcPr>
        <w:shd w:val="clear" w:color="ffffff" w:themeColor="accent2" w:themeTint="97" w:fill="d99694" w:themeFill="accent2" w:themeFillTint="97"/>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tcPr>
        <w:shd w:val="clear" w:color="ffffff" w:themeColor="accent2" w:themeTint="97" w:fill="d99694" w:themeFill="accent2" w:themeFillTint="97"/>
        <w:tcBorders>
          <w:top w:val="single" w:color="000000" w:themeColor="accent2" w:themeTint="97" w:sz="32" w:space="0"/>
          <w:bottom w:val="single" w:color="000000" w:themeColor="light1" w:sz="12" w:space="0"/>
        </w:tcBorders>
      </w:tcPr>
    </w:tblStylePr>
    <w:tblStylePr w:type="lastCol">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77">
    <w:name w:val="List Table 5 Dark - Accent 3"/>
    <w:uiPriority w:val="99"/>
    <w:pPr>
      <w:spacing w:after="0" w:line="240" w:lineRule="auto"/>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3d69b" w:themeFill="accent3" w:themeFillTint="98"/>
    </w:tblPr>
    <w:tblStylePr w:type="band1Horz">
      <w:tcPr>
        <w:shd w:val="clear" w:color="ffffff" w:themeColor="accent3" w:themeTint="98" w:fill="c3d69b" w:themeFill="accent3" w:themeFillTint="98"/>
        <w:tcBorders>
          <w:top w:val="single" w:color="000000" w:themeColor="light1" w:sz="4" w:space="0"/>
          <w:bottom w:val="single" w:color="000000" w:themeColor="light1" w:sz="4" w:space="0"/>
        </w:tcBorders>
      </w:tcPr>
    </w:tblStylePr>
    <w:tblStylePr w:type="band1Vert">
      <w:tcPr>
        <w:shd w:val="clear" w:color="ffffff" w:themeColor="accent3" w:themeTint="98" w:fill="c3d69b" w:themeFill="accent3" w:themeFillTint="98"/>
        <w:tcBorders>
          <w:left w:val="single" w:color="000000" w:themeColor="light1" w:sz="4" w:space="0"/>
          <w:right w:val="single" w:color="000000" w:themeColor="light1" w:sz="4" w:space="0"/>
        </w:tcBorders>
      </w:tcPr>
    </w:tblStylePr>
    <w:tblStylePr w:type="band2Horz">
      <w:tcPr>
        <w:shd w:val="clear" w:color="ffffff" w:themeColor="accent3" w:themeTint="98" w:fill="c3d69b" w:themeFill="accent3"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3" w:themeTint="98" w:fill="c3d69b" w:themeFill="accent3" w:themeFillTint="98"/>
        <w:tcBorders>
          <w:top w:val="single" w:color="000000" w:themeColor="accent3" w:themeTint="98" w:sz="32" w:space="0"/>
          <w:bottom w:val="single" w:color="000000" w:themeColor="light1" w:sz="12" w:space="0"/>
        </w:tcBorders>
      </w:tcPr>
    </w:tblStylePr>
    <w:tblStylePr w:type="lastCol">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78">
    <w:name w:val="List Table 5 Dark - Accent 4"/>
    <w:uiPriority w:val="99"/>
    <w:pPr>
      <w:spacing w:after="0" w:line="240" w:lineRule="auto"/>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b2a1c6" w:themeFill="accent4" w:themeFillTint="9A"/>
    </w:tblPr>
    <w:tblStylePr w:type="band1Horz">
      <w:tcPr>
        <w:shd w:val="clear" w:color="ffffff" w:themeColor="accent4" w:themeTint="9A" w:fill="b2a1c6" w:themeFill="accent4" w:themeFillTint="9A"/>
        <w:tcBorders>
          <w:top w:val="single" w:color="000000" w:themeColor="light1" w:sz="4" w:space="0"/>
          <w:bottom w:val="single" w:color="000000" w:themeColor="light1" w:sz="4" w:space="0"/>
        </w:tcBorders>
      </w:tcPr>
    </w:tblStylePr>
    <w:tblStylePr w:type="band1Vert">
      <w:tcPr>
        <w:shd w:val="clear" w:color="ffffff" w:themeColor="accent4" w:themeTint="9A" w:fill="b2a1c6" w:themeFill="accent4" w:themeFillTint="9A"/>
        <w:tcBorders>
          <w:left w:val="single" w:color="000000" w:themeColor="light1" w:sz="4" w:space="0"/>
          <w:right w:val="single" w:color="000000" w:themeColor="light1" w:sz="4" w:space="0"/>
        </w:tcBorders>
      </w:tcPr>
    </w:tblStylePr>
    <w:tblStylePr w:type="band2Horz">
      <w:tcPr>
        <w:shd w:val="clear" w:color="ffffff" w:themeColor="accent4" w:themeTint="9A" w:fill="b2a1c6" w:themeFill="accent4"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4" w:themeTint="9A" w:fill="b2a1c6" w:themeFill="accent4" w:themeFillTint="9A"/>
        <w:tcBorders>
          <w:top w:val="single" w:color="000000" w:themeColor="accent4" w:themeTint="9A" w:sz="32" w:space="0"/>
          <w:bottom w:val="single" w:color="000000" w:themeColor="light1" w:sz="12" w:space="0"/>
        </w:tcBorders>
      </w:tcPr>
    </w:tblStylePr>
    <w:tblStylePr w:type="lastCol">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79">
    <w:name w:val="List Table 5 Dark - Accent 5"/>
    <w:uiPriority w:val="99"/>
    <w:pPr>
      <w:spacing w:after="0" w:line="240" w:lineRule="auto"/>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91cddc" w:themeFill="accent5" w:themeFillTint="9A"/>
    </w:tblPr>
    <w:tblStylePr w:type="band1Horz">
      <w:tcPr>
        <w:shd w:val="clear" w:color="ffffff" w:themeColor="accent5" w:themeTint="9A" w:fill="91cddc" w:themeFill="accent5" w:themeFillTint="9A"/>
        <w:tcBorders>
          <w:top w:val="single" w:color="000000" w:themeColor="light1" w:sz="4" w:space="0"/>
          <w:bottom w:val="single" w:color="000000" w:themeColor="light1" w:sz="4" w:space="0"/>
        </w:tcBorders>
      </w:tcPr>
    </w:tblStylePr>
    <w:tblStylePr w:type="band1Vert">
      <w:tcPr>
        <w:shd w:val="clear" w:color="ffffff" w:themeColor="accent5" w:themeTint="9A" w:fill="91cddc" w:themeFill="accent5" w:themeFillTint="9A"/>
        <w:tcBorders>
          <w:left w:val="single" w:color="000000" w:themeColor="light1" w:sz="4" w:space="0"/>
          <w:right w:val="single" w:color="000000" w:themeColor="light1" w:sz="4" w:space="0"/>
        </w:tcBorders>
      </w:tcPr>
    </w:tblStylePr>
    <w:tblStylePr w:type="band2Horz">
      <w:tcPr>
        <w:shd w:val="clear" w:color="ffffff" w:themeColor="accent5" w:themeTint="9A" w:fill="91cddc" w:themeFill="accent5"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5" w:themeTint="9A" w:fill="91cddc" w:themeFill="accent5" w:themeFillTint="9A"/>
        <w:tcBorders>
          <w:top w:val="single" w:color="000000" w:themeColor="accent5" w:themeTint="9A" w:sz="32" w:space="0"/>
          <w:bottom w:val="single" w:color="000000" w:themeColor="light1" w:sz="12" w:space="0"/>
        </w:tcBorders>
      </w:tcPr>
    </w:tblStylePr>
    <w:tblStylePr w:type="lastCol">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80">
    <w:name w:val="List Table 5 Dark - Accent 6"/>
    <w:uiPriority w:val="99"/>
    <w:pPr>
      <w:spacing w:after="0" w:line="240" w:lineRule="auto"/>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f9bf90" w:themeFill="accent6" w:themeFillTint="98"/>
    </w:tblPr>
    <w:tblStylePr w:type="band1Horz">
      <w:tcPr>
        <w:shd w:val="clear" w:color="ffffff" w:themeColor="accent6" w:themeTint="98" w:fill="f9bf90" w:themeFill="accent6" w:themeFillTint="98"/>
        <w:tcBorders>
          <w:top w:val="single" w:color="000000" w:themeColor="light1" w:sz="4" w:space="0"/>
          <w:bottom w:val="single" w:color="000000" w:themeColor="light1" w:sz="4" w:space="0"/>
        </w:tcBorders>
      </w:tcPr>
    </w:tblStylePr>
    <w:tblStylePr w:type="band1Vert">
      <w:tcPr>
        <w:shd w:val="clear" w:color="ffffff" w:themeColor="accent6" w:themeTint="98" w:fill="f9bf90" w:themeFill="accent6" w:themeFillTint="98"/>
        <w:tcBorders>
          <w:left w:val="single" w:color="000000" w:themeColor="light1" w:sz="4" w:space="0"/>
          <w:right w:val="single" w:color="000000" w:themeColor="light1" w:sz="4" w:space="0"/>
        </w:tcBorders>
      </w:tcPr>
    </w:tblStylePr>
    <w:tblStylePr w:type="band2Horz">
      <w:tcPr>
        <w:shd w:val="clear" w:color="ffffff" w:themeColor="accent6" w:themeTint="98" w:fill="f9bf90" w:themeFill="accent6"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6" w:themeTint="98" w:fill="f9bf90" w:themeFill="accent6" w:themeFillTint="98"/>
        <w:tcBorders>
          <w:top w:val="single" w:color="000000" w:themeColor="accent6" w:themeTint="98" w:sz="32" w:space="0"/>
          <w:bottom w:val="single" w:color="000000" w:themeColor="light1" w:sz="12" w:space="0"/>
        </w:tcBorders>
      </w:tcPr>
    </w:tblStylePr>
    <w:tblStylePr w:type="lastCol">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81">
    <w:name w:val="List Table 6 Colorful"/>
    <w:uiPriority w:val="99"/>
    <w:pPr>
      <w:spacing w:after="0" w:line="240" w:lineRule="auto"/>
    </w:pPr>
    <w:tblPr>
      <w:tblStyleRowBandSize w:val="1"/>
      <w:tblStyleColBandSize w:val="1"/>
      <w:tblInd w:w="0" w:type="dxa"/>
      <w:tblBorders>
        <w:top w:val="single" w:color="000000" w:themeColor="text1" w:themeTint="80" w:sz="4" w:space="0"/>
        <w:bottom w:val="single" w:color="000000" w:themeColor="text1" w:themeTint="80" w:sz="4" w:space="0"/>
      </w:tblBorders>
    </w:tblPr>
    <w:tblStylePr w:type="band1Horz">
      <w:rPr>
        <w:rFonts w:ascii="Arial" w:hAnsi="Arial"/>
        <w:color w:val="404040" w:themeColor="text1"/>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04040" w:themeColor="text1"/>
        <w:sz w:val="22"/>
      </w:rPr>
    </w:tblStylePr>
    <w:tblStylePr w:type="firstCol">
      <w:rPr>
        <w:b/>
        <w:color w:val="000000" w:themeColor="text1"/>
      </w:rPr>
    </w:tblStylePr>
    <w:tblStylePr w:type="firstRow">
      <w:rPr>
        <w:b/>
        <w:color w:val="000000" w:themeColor="text1"/>
      </w:rPr>
      <w:tcPr>
        <w:tcBorders>
          <w:bottom w:val="single" w:color="000000" w:themeColor="text1" w:themeTint="80" w:sz="4" w:space="0"/>
        </w:tcBorders>
      </w:tcPr>
    </w:tblStylePr>
    <w:tblStylePr w:type="lastCol">
      <w:rPr>
        <w:b/>
        <w:color w:val="000000" w:themeColor="text1"/>
      </w:rPr>
    </w:tblStylePr>
    <w:tblStylePr w:type="lastRow">
      <w:rPr>
        <w:b/>
        <w:color w:val="000000" w:themeColor="text1"/>
      </w:rPr>
      <w:tcPr>
        <w:tcBorders>
          <w:top w:val="single" w:color="000000" w:themeColor="text1" w:themeTint="80" w:sz="4" w:space="0"/>
        </w:tcBorders>
      </w:tcPr>
    </w:tblStylePr>
  </w:style>
  <w:style w:type="table" w:styleId="882">
    <w:name w:val="List Table 6 Colorful - Accent 1"/>
    <w:uiPriority w:val="99"/>
    <w:pPr>
      <w:spacing w:after="0" w:line="240" w:lineRule="auto"/>
    </w:pPr>
    <w:tblPr>
      <w:tblStyleRowBandSize w:val="1"/>
      <w:tblStyleColBandSize w:val="1"/>
      <w:tblInd w:w="0" w:type="dxa"/>
      <w:tblBorders>
        <w:top w:val="single" w:color="000000" w:themeColor="accent1" w:sz="4" w:space="0"/>
        <w:bottom w:val="single" w:color="000000" w:themeColor="accent1" w:sz="4" w:space="0"/>
      </w:tblBorders>
    </w:tblPr>
    <w:tblStylePr w:type="band1Horz">
      <w:rPr>
        <w:rFonts w:ascii="Arial" w:hAnsi="Arial"/>
        <w:color w:val="404040" w:themeColor="accent1" w:themeShade="95"/>
        <w:sz w:val="22"/>
      </w:rPr>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band2Horz">
      <w:rPr>
        <w:rFonts w:ascii="Arial" w:hAnsi="Arial"/>
        <w:color w:val="404040" w:themeColor="accent1" w:themeShade="95"/>
        <w:sz w:val="22"/>
      </w:rPr>
    </w:tblStylePr>
    <w:tblStylePr w:type="firstCol">
      <w:rPr>
        <w:b/>
        <w:color w:val="2a4b71" w:themeColor="accent1" w:themeShade="95"/>
      </w:rPr>
    </w:tblStylePr>
    <w:tblStylePr w:type="firstRow">
      <w:rPr>
        <w:b/>
        <w:color w:val="2a4b71" w:themeColor="accent1" w:themeShade="95"/>
      </w:rPr>
      <w:tcPr>
        <w:tcBorders>
          <w:bottom w:val="single" w:color="000000" w:themeColor="accent1" w:sz="4" w:space="0"/>
        </w:tcBorders>
      </w:tcPr>
    </w:tblStylePr>
    <w:tblStylePr w:type="lastCol">
      <w:rPr>
        <w:b/>
        <w:color w:val="2a4b71" w:themeColor="accent1" w:themeShade="95"/>
      </w:rPr>
    </w:tblStylePr>
    <w:tblStylePr w:type="lastRow">
      <w:rPr>
        <w:b/>
        <w:color w:val="2a4b71" w:themeColor="accent1" w:themeShade="95"/>
      </w:rPr>
      <w:tcPr>
        <w:tcBorders>
          <w:top w:val="single" w:color="000000" w:themeColor="accent1" w:sz="4" w:space="0"/>
        </w:tcBorders>
      </w:tcPr>
    </w:tblStylePr>
  </w:style>
  <w:style w:type="table" w:styleId="883">
    <w:name w:val="List Table 6 Colorful - Accent 2"/>
    <w:uiPriority w:val="99"/>
    <w:pPr>
      <w:spacing w:after="0" w:line="240" w:lineRule="auto"/>
    </w:pPr>
    <w:tblPr>
      <w:tblStyleRowBandSize w:val="1"/>
      <w:tblStyleColBandSize w:val="1"/>
      <w:tblInd w:w="0" w:type="dxa"/>
      <w:tblBorders>
        <w:top w:val="single" w:color="000000" w:themeColor="accent2" w:themeTint="97" w:sz="4" w:space="0"/>
        <w:bottom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band2Horz">
      <w:rPr>
        <w:rFonts w:ascii="Arial" w:hAnsi="Arial"/>
        <w:color w:val="404040" w:themeColor="accent2" w:themeTint="97" w:themeShade="95"/>
        <w:sz w:val="22"/>
      </w:rPr>
    </w:tblStylePr>
    <w:tblStylePr w:type="firstCol">
      <w:rPr>
        <w:b/>
        <w:color w:val="9c3a37" w:themeColor="accent2" w:themeTint="97" w:themeShade="95"/>
      </w:rPr>
    </w:tblStylePr>
    <w:tblStylePr w:type="firstRow">
      <w:rPr>
        <w:b/>
        <w:color w:val="9c3a37" w:themeColor="accent2" w:themeTint="97" w:themeShade="95"/>
      </w:rPr>
      <w:tcPr>
        <w:tcBorders>
          <w:bottom w:val="single" w:color="000000" w:themeColor="accent2" w:themeTint="97" w:sz="4" w:space="0"/>
        </w:tcBorders>
      </w:tcPr>
    </w:tblStylePr>
    <w:tblStylePr w:type="lastCol">
      <w:rPr>
        <w:b/>
        <w:color w:val="9c3a37" w:themeColor="accent2" w:themeTint="97" w:themeShade="95"/>
      </w:rPr>
    </w:tblStylePr>
    <w:tblStylePr w:type="lastRow">
      <w:rPr>
        <w:b/>
        <w:color w:val="9c3a37" w:themeColor="accent2" w:themeTint="97" w:themeShade="95"/>
      </w:rPr>
      <w:tcPr>
        <w:tcBorders>
          <w:top w:val="single" w:color="000000" w:themeColor="accent2" w:themeTint="97" w:sz="4" w:space="0"/>
        </w:tcBorders>
      </w:tcPr>
    </w:tblStylePr>
  </w:style>
  <w:style w:type="table" w:styleId="884">
    <w:name w:val="List Table 6 Colorful - Accent 3"/>
    <w:uiPriority w:val="99"/>
    <w:pPr>
      <w:spacing w:after="0" w:line="240" w:lineRule="auto"/>
    </w:pPr>
    <w:tblPr>
      <w:tblStyleRowBandSize w:val="1"/>
      <w:tblStyleColBandSize w:val="1"/>
      <w:tblInd w:w="0" w:type="dxa"/>
      <w:tblBorders>
        <w:top w:val="single" w:color="000000" w:themeColor="accent3" w:themeTint="98" w:sz="4" w:space="0"/>
        <w:bottom w:val="single" w:color="000000" w:themeColor="accent3" w:themeTint="98" w:sz="4" w:space="0"/>
      </w:tblBorders>
    </w:tblPr>
    <w:tblStylePr w:type="band1Horz">
      <w:rPr>
        <w:rFonts w:ascii="Arial" w:hAnsi="Arial"/>
        <w:color w:val="404040" w:themeColor="accent3" w:themeTint="98" w:themeShade="95"/>
        <w:sz w:val="22"/>
      </w:rPr>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band2Horz">
      <w:rPr>
        <w:rFonts w:ascii="Arial" w:hAnsi="Arial"/>
        <w:color w:val="404040" w:themeColor="accent3" w:themeTint="98" w:themeShade="95"/>
        <w:sz w:val="22"/>
      </w:rPr>
    </w:tblStylePr>
    <w:tblStylePr w:type="firstCol">
      <w:rPr>
        <w:b/>
        <w:color w:val="7c983f" w:themeColor="accent3" w:themeTint="98" w:themeShade="95"/>
      </w:rPr>
    </w:tblStylePr>
    <w:tblStylePr w:type="firstRow">
      <w:rPr>
        <w:b/>
        <w:color w:val="7c983f" w:themeColor="accent3" w:themeTint="98" w:themeShade="95"/>
      </w:rPr>
      <w:tcPr>
        <w:tcBorders>
          <w:bottom w:val="single" w:color="000000" w:themeColor="accent3" w:themeTint="98" w:sz="4" w:space="0"/>
        </w:tcBorders>
      </w:tcPr>
    </w:tblStylePr>
    <w:tblStylePr w:type="lastCol">
      <w:rPr>
        <w:b/>
        <w:color w:val="7c983f" w:themeColor="accent3" w:themeTint="98" w:themeShade="95"/>
      </w:rPr>
    </w:tblStylePr>
    <w:tblStylePr w:type="lastRow">
      <w:rPr>
        <w:b/>
        <w:color w:val="7c983f" w:themeColor="accent3" w:themeTint="98" w:themeShade="95"/>
      </w:rPr>
      <w:tcPr>
        <w:tcBorders>
          <w:top w:val="single" w:color="000000" w:themeColor="accent3" w:themeTint="98" w:sz="4" w:space="0"/>
        </w:tcBorders>
      </w:tcPr>
    </w:tblStylePr>
  </w:style>
  <w:style w:type="table" w:styleId="885">
    <w:name w:val="List Table 6 Colorful - Accent 4"/>
    <w:uiPriority w:val="99"/>
    <w:pPr>
      <w:spacing w:after="0" w:line="240" w:lineRule="auto"/>
    </w:pPr>
    <w:tblPr>
      <w:tblStyleRowBandSize w:val="1"/>
      <w:tblStyleColBandSize w:val="1"/>
      <w:tblInd w:w="0" w:type="dxa"/>
      <w:tblBorders>
        <w:top w:val="single" w:color="000000" w:themeColor="accent4" w:themeTint="9A" w:sz="4" w:space="0"/>
        <w:bottom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band2Horz">
      <w:rPr>
        <w:rFonts w:ascii="Arial" w:hAnsi="Arial"/>
        <w:color w:val="404040" w:themeColor="accent4" w:themeTint="9A" w:themeShade="95"/>
        <w:sz w:val="22"/>
      </w:rPr>
    </w:tblStylePr>
    <w:tblStylePr w:type="firstCol">
      <w:rPr>
        <w:b/>
        <w:color w:val="664f82" w:themeColor="accent4" w:themeTint="9A" w:themeShade="95"/>
      </w:rPr>
    </w:tblStylePr>
    <w:tblStylePr w:type="firstRow">
      <w:rPr>
        <w:b/>
        <w:color w:val="664f82" w:themeColor="accent4" w:themeTint="9A" w:themeShade="95"/>
      </w:rPr>
      <w:tcPr>
        <w:tcBorders>
          <w:bottom w:val="single" w:color="000000" w:themeColor="accent4" w:themeTint="9A" w:sz="4" w:space="0"/>
        </w:tcBorders>
      </w:tcPr>
    </w:tblStylePr>
    <w:tblStylePr w:type="lastCol">
      <w:rPr>
        <w:b/>
        <w:color w:val="664f82" w:themeColor="accent4" w:themeTint="9A" w:themeShade="95"/>
      </w:rPr>
    </w:tblStylePr>
    <w:tblStylePr w:type="lastRow">
      <w:rPr>
        <w:b/>
        <w:color w:val="664f82" w:themeColor="accent4" w:themeTint="9A" w:themeShade="95"/>
      </w:rPr>
      <w:tcPr>
        <w:tcBorders>
          <w:top w:val="single" w:color="000000" w:themeColor="accent4" w:themeTint="9A" w:sz="4" w:space="0"/>
        </w:tcBorders>
      </w:tcPr>
    </w:tblStylePr>
  </w:style>
  <w:style w:type="table" w:styleId="886">
    <w:name w:val="List Table 6 Colorful - Accent 5"/>
    <w:uiPriority w:val="99"/>
    <w:pPr>
      <w:spacing w:after="0" w:line="240" w:lineRule="auto"/>
    </w:pPr>
    <w:tblPr>
      <w:tblStyleRowBandSize w:val="1"/>
      <w:tblStyleColBandSize w:val="1"/>
      <w:tblInd w:w="0" w:type="dxa"/>
      <w:tblBorders>
        <w:top w:val="single" w:color="000000" w:themeColor="accent5" w:themeTint="9A" w:sz="4" w:space="0"/>
        <w:bottom w:val="single" w:color="000000" w:themeColor="accent5" w:themeTint="9A" w:sz="4" w:space="0"/>
      </w:tblBorders>
    </w:tblPr>
    <w:tblStylePr w:type="band1Horz">
      <w:rPr>
        <w:rFonts w:ascii="Arial" w:hAnsi="Arial"/>
        <w:color w:val="404040" w:themeColor="accent5" w:themeTint="9A" w:themeShade="95"/>
        <w:sz w:val="22"/>
      </w:rPr>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band2Horz">
      <w:rPr>
        <w:rFonts w:ascii="Arial" w:hAnsi="Arial"/>
        <w:color w:val="404040" w:themeColor="accent5" w:themeTint="9A" w:themeShade="95"/>
        <w:sz w:val="22"/>
      </w:rPr>
    </w:tblStylePr>
    <w:tblStylePr w:type="firstCol">
      <w:rPr>
        <w:b/>
        <w:color w:val="338aa0" w:themeColor="accent5" w:themeTint="9A" w:themeShade="95"/>
      </w:rPr>
    </w:tblStylePr>
    <w:tblStylePr w:type="firstRow">
      <w:rPr>
        <w:b/>
        <w:color w:val="338aa0" w:themeColor="accent5" w:themeTint="9A" w:themeShade="95"/>
      </w:rPr>
      <w:tcPr>
        <w:tcBorders>
          <w:bottom w:val="single" w:color="000000" w:themeColor="accent5" w:themeTint="9A" w:sz="4" w:space="0"/>
        </w:tcBorders>
      </w:tcPr>
    </w:tblStylePr>
    <w:tblStylePr w:type="lastCol">
      <w:rPr>
        <w:b/>
        <w:color w:val="338aa0" w:themeColor="accent5" w:themeTint="9A" w:themeShade="95"/>
      </w:rPr>
    </w:tblStylePr>
    <w:tblStylePr w:type="lastRow">
      <w:rPr>
        <w:b/>
        <w:color w:val="338aa0" w:themeColor="accent5" w:themeTint="9A" w:themeShade="95"/>
      </w:rPr>
      <w:tcPr>
        <w:tcBorders>
          <w:top w:val="single" w:color="000000" w:themeColor="accent5" w:themeTint="9A" w:sz="4" w:space="0"/>
        </w:tcBorders>
      </w:tcPr>
    </w:tblStylePr>
  </w:style>
  <w:style w:type="table" w:styleId="887">
    <w:name w:val="List Table 6 Colorful - Accent 6"/>
    <w:uiPriority w:val="99"/>
    <w:pPr>
      <w:spacing w:after="0" w:line="240" w:lineRule="auto"/>
    </w:pPr>
    <w:tblPr>
      <w:tblStyleRowBandSize w:val="1"/>
      <w:tblStyleColBandSize w:val="1"/>
      <w:tblInd w:w="0" w:type="dxa"/>
      <w:tblBorders>
        <w:top w:val="single" w:color="000000" w:themeColor="accent6" w:themeTint="98" w:sz="4" w:space="0"/>
        <w:bottom w:val="single" w:color="000000" w:themeColor="accent6" w:themeTint="98" w:sz="4" w:space="0"/>
      </w:tblBorders>
    </w:tblPr>
    <w:tblStylePr w:type="band1Horz">
      <w:rPr>
        <w:rFonts w:ascii="Arial" w:hAnsi="Arial"/>
        <w:color w:val="404040" w:themeColor="accent6" w:themeTint="98" w:themeShade="95"/>
        <w:sz w:val="22"/>
      </w:rPr>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band2Horz">
      <w:rPr>
        <w:rFonts w:ascii="Arial" w:hAnsi="Arial"/>
        <w:color w:val="404040" w:themeColor="accent6" w:themeTint="98" w:themeShade="95"/>
        <w:sz w:val="22"/>
      </w:rPr>
    </w:tblStylePr>
    <w:tblStylePr w:type="firstCol">
      <w:rPr>
        <w:b/>
        <w:color w:val="d9680c" w:themeColor="accent6" w:themeTint="98" w:themeShade="95"/>
      </w:rPr>
    </w:tblStylePr>
    <w:tblStylePr w:type="firstRow">
      <w:rPr>
        <w:b/>
        <w:color w:val="d9680c" w:themeColor="accent6" w:themeTint="98" w:themeShade="95"/>
      </w:rPr>
      <w:tcPr>
        <w:tcBorders>
          <w:bottom w:val="single" w:color="000000" w:themeColor="accent6" w:themeTint="98" w:sz="4" w:space="0"/>
        </w:tcBorders>
      </w:tcPr>
    </w:tblStylePr>
    <w:tblStylePr w:type="lastCol">
      <w:rPr>
        <w:b/>
        <w:color w:val="d9680c" w:themeColor="accent6" w:themeTint="98" w:themeShade="95"/>
      </w:rPr>
    </w:tblStylePr>
    <w:tblStylePr w:type="lastRow">
      <w:rPr>
        <w:b/>
        <w:color w:val="d9680c" w:themeColor="accent6" w:themeTint="98" w:themeShade="95"/>
      </w:rPr>
      <w:tcPr>
        <w:tcBorders>
          <w:top w:val="single" w:color="000000" w:themeColor="accent6" w:themeTint="98" w:sz="4" w:space="0"/>
        </w:tcBorders>
      </w:tcPr>
    </w:tblStylePr>
  </w:style>
  <w:style w:type="table" w:styleId="888">
    <w:name w:val="List Table 7 Colorful"/>
    <w:uiPriority w:val="99"/>
    <w:pPr>
      <w:spacing w:after="0" w:line="240" w:lineRule="auto"/>
    </w:pPr>
    <w:tblPr>
      <w:tblStyleRowBandSize w:val="1"/>
      <w:tblStyleColBandSize w:val="1"/>
      <w:tblInd w:w="0" w:type="dxa"/>
      <w:tblBorders>
        <w:right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i/>
        <w:color w:val="4a4a4a" w:themeColor="text1" w:themeTint="80" w:themeShade="95"/>
        <w:sz w:val="22"/>
      </w:r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i/>
        <w:color w:val="4a4a4a" w:themeColor="text1" w:themeTint="80" w:themeShade="95"/>
        <w:sz w:val="22"/>
      </w:r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wholeTable">
      <w:rPr>
        <w:rFonts w:ascii="Arial" w:hAnsi="Arial"/>
        <w:color w:val="4a4a4a" w:themeColor="text1" w:themeTint="80" w:themeShade="95"/>
        <w:sz w:val="22"/>
      </w:rPr>
    </w:tblStylePr>
  </w:style>
  <w:style w:type="table" w:styleId="889">
    <w:name w:val="List Table 7 Colorful - Accent 1"/>
    <w:uiPriority w:val="99"/>
    <w:pPr>
      <w:spacing w:after="0" w:line="240" w:lineRule="auto"/>
    </w:pPr>
    <w:tblPr>
      <w:tblStyleRowBandSize w:val="1"/>
      <w:tblStyleColBandSize w:val="1"/>
      <w:tblInd w:w="0" w:type="dxa"/>
      <w:tblBorders>
        <w:right w:val="single" w:color="000000" w:themeColor="accent1" w:sz="4" w:space="0"/>
      </w:tblBorders>
    </w:tblPr>
    <w:tblStylePr w:type="band1Horz">
      <w:rPr>
        <w:rFonts w:ascii="Arial" w:hAnsi="Arial"/>
        <w:color w:val="2a4b71" w:themeColor="accent1" w:themeShade="95"/>
        <w:sz w:val="22"/>
      </w:rPr>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band2Horz">
      <w:rPr>
        <w:rFonts w:ascii="Arial" w:hAnsi="Arial"/>
        <w:color w:val="2a4b71" w:themeColor="accent1" w:themeShade="95"/>
        <w:sz w:val="22"/>
      </w:rPr>
    </w:tblStylePr>
    <w:tblStylePr w:type="firstCol">
      <w:rPr>
        <w:rFonts w:ascii="Arial" w:hAnsi="Arial"/>
        <w:i/>
        <w:color w:val="2a4b71" w:themeColor="accent1" w:themeShade="95"/>
        <w:sz w:val="22"/>
      </w:rPr>
      <w:pPr>
        <w:jc w:val="right"/>
      </w:p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rFonts w:ascii="Arial" w:hAnsi="Arial"/>
        <w:i/>
        <w:color w:val="2a4b71" w:themeColor="accent1" w:themeShade="95"/>
        <w:sz w:val="22"/>
      </w:rPr>
      <w:tcPr>
        <w:shd w:val="clear" w:color="ffffff" w:themeColor="light1"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rFonts w:ascii="Arial" w:hAnsi="Arial"/>
        <w:i/>
        <w:color w:val="2a4b71" w:themeColor="accent1" w:themeShade="95"/>
        <w:sz w:val="22"/>
      </w:r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rFonts w:ascii="Arial" w:hAnsi="Arial"/>
        <w:i/>
        <w:color w:val="2a4b71" w:themeColor="accent1" w:themeShade="95"/>
        <w:sz w:val="22"/>
      </w:rPr>
      <w:tcPr>
        <w:shd w:val="clear" w:color="ffffff" w:themeColor="light1" w:fill="ffffff" w:themeFill="light1"/>
        <w:tcBorders>
          <w:top w:val="single" w:color="000000" w:themeColor="accent1" w:sz="4" w:space="0"/>
          <w:left w:val="none" w:color="000000" w:sz="4" w:space="0"/>
          <w:bottom w:val="none" w:color="000000" w:sz="4" w:space="0"/>
          <w:right w:val="none" w:color="000000" w:sz="4" w:space="0"/>
        </w:tcBorders>
      </w:tcPr>
    </w:tblStylePr>
    <w:tblStylePr w:type="wholeTable">
      <w:rPr>
        <w:rFonts w:ascii="Arial" w:hAnsi="Arial"/>
        <w:color w:val="2a4b71" w:themeColor="accent1" w:themeShade="95"/>
        <w:sz w:val="22"/>
      </w:rPr>
    </w:tblStylePr>
  </w:style>
  <w:style w:type="table" w:styleId="890">
    <w:name w:val="List Table 7 Colorful - Accent 2"/>
    <w:uiPriority w:val="99"/>
    <w:pPr>
      <w:spacing w:after="0" w:line="240" w:lineRule="auto"/>
    </w:pPr>
    <w:tblPr>
      <w:tblStyleRowBandSize w:val="1"/>
      <w:tblStyleColBandSize w:val="1"/>
      <w:tblInd w:w="0" w:type="dxa"/>
      <w:tblBorders>
        <w:right w:val="single" w:color="000000" w:themeColor="accent2" w:themeTint="97" w:sz="4" w:space="0"/>
      </w:tblBorders>
    </w:tblPr>
    <w:tblStylePr w:type="band1Horz">
      <w:rPr>
        <w:rFonts w:ascii="Arial" w:hAnsi="Arial"/>
        <w:color w:val="9c3a37" w:themeColor="accent2" w:themeTint="97" w:themeShade="95"/>
        <w:sz w:val="22"/>
      </w:rPr>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band2Horz">
      <w:rPr>
        <w:rFonts w:ascii="Arial" w:hAnsi="Arial"/>
        <w:color w:val="9c3a37" w:themeColor="accent2" w:themeTint="97" w:themeShade="95"/>
        <w:sz w:val="22"/>
      </w:rPr>
    </w:tblStylePr>
    <w:tblStylePr w:type="firstCol">
      <w:rPr>
        <w:rFonts w:ascii="Arial" w:hAnsi="Arial"/>
        <w:i/>
        <w:color w:val="9c3a37" w:themeColor="accent2" w:themeTint="97" w:themeShade="95"/>
        <w:sz w:val="22"/>
      </w:rPr>
      <w:pPr>
        <w:jc w:val="right"/>
      </w:p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i/>
        <w:color w:val="9c3a37" w:themeColor="accent2" w:themeTint="97" w:themeShade="95"/>
        <w:sz w:val="22"/>
      </w:r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c3a37" w:themeColor="accent2" w:themeTint="97" w:themeShade="95"/>
        <w:sz w:val="22"/>
      </w:r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i/>
        <w:color w:val="9c3a37" w:themeColor="accent2" w:themeTint="97" w:themeShade="95"/>
        <w:sz w:val="22"/>
      </w:r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wholeTable">
      <w:rPr>
        <w:rFonts w:ascii="Arial" w:hAnsi="Arial"/>
        <w:color w:val="9c3a37" w:themeColor="accent2" w:themeTint="97" w:themeShade="95"/>
        <w:sz w:val="22"/>
      </w:rPr>
    </w:tblStylePr>
  </w:style>
  <w:style w:type="table" w:styleId="891">
    <w:name w:val="List Table 7 Colorful - Accent 3"/>
    <w:uiPriority w:val="99"/>
    <w:pPr>
      <w:spacing w:after="0" w:line="240" w:lineRule="auto"/>
    </w:pPr>
    <w:tblPr>
      <w:tblStyleRowBandSize w:val="1"/>
      <w:tblStyleColBandSize w:val="1"/>
      <w:tblInd w:w="0" w:type="dxa"/>
      <w:tblBorders>
        <w:right w:val="single" w:color="000000" w:themeColor="accent3" w:themeTint="98" w:sz="4" w:space="0"/>
      </w:tblBorders>
    </w:tblPr>
    <w:tblStylePr w:type="band1Horz">
      <w:rPr>
        <w:rFonts w:ascii="Arial" w:hAnsi="Arial"/>
        <w:color w:val="7c983f" w:themeColor="accent3" w:themeTint="98" w:themeShade="95"/>
        <w:sz w:val="22"/>
      </w:rPr>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band2Horz">
      <w:rPr>
        <w:rFonts w:ascii="Arial" w:hAnsi="Arial"/>
        <w:color w:val="7c983f" w:themeColor="accent3" w:themeTint="98" w:themeShade="95"/>
        <w:sz w:val="22"/>
      </w:rPr>
    </w:tblStylePr>
    <w:tblStylePr w:type="firstCol">
      <w:rPr>
        <w:rFonts w:ascii="Arial" w:hAnsi="Arial"/>
        <w:i/>
        <w:color w:val="7c983f" w:themeColor="accent3" w:themeTint="98" w:themeShade="95"/>
        <w:sz w:val="22"/>
      </w:rPr>
      <w:pPr>
        <w:jc w:val="right"/>
      </w:pPr>
      <w:tcPr>
        <w:shd w:val="clear" w:color="ffffff"/>
        <w:tcBorders>
          <w:top w:val="none" w:color="000000" w:sz="4" w:space="0"/>
          <w:left w:val="none" w:color="000000" w:sz="4" w:space="0"/>
          <w:bottom w:val="none" w:color="000000" w:sz="4" w:space="0"/>
          <w:right w:val="single" w:color="000000" w:themeColor="accent3" w:themeTint="98" w:sz="4" w:space="0"/>
        </w:tcBorders>
      </w:tcPr>
    </w:tblStylePr>
    <w:tblStylePr w:type="firstRow">
      <w:rPr>
        <w:rFonts w:ascii="Arial" w:hAnsi="Arial"/>
        <w:i/>
        <w:color w:val="7c983f" w:themeColor="accent3" w:themeTint="98" w:themeShade="95"/>
        <w:sz w:val="22"/>
      </w:rPr>
      <w:tcPr>
        <w:shd w:val="clear" w:color="ffffff" w:themeColor="light1" w:fill="ffffff" w:themeFill="light1"/>
        <w:tcBorders>
          <w:top w:val="none" w:color="000000" w:sz="4" w:space="0"/>
          <w:left w:val="none" w:color="000000" w:sz="4" w:space="0"/>
          <w:bottom w:val="single" w:color="000000" w:themeColor="accent3" w:themeTint="98" w:sz="4" w:space="0"/>
          <w:right w:val="none" w:color="000000" w:sz="4" w:space="0"/>
        </w:tcBorders>
      </w:tcPr>
    </w:tblStylePr>
    <w:tblStylePr w:type="lastCol">
      <w:rPr>
        <w:rFonts w:ascii="Arial" w:hAnsi="Arial"/>
        <w:i/>
        <w:color w:val="7c983f" w:themeColor="accent3" w:themeTint="98" w:themeShade="95"/>
        <w:sz w:val="22"/>
      </w:rPr>
      <w:tcPr>
        <w:shd w:val="clear" w:color="ffffff"/>
        <w:tcBorders>
          <w:top w:val="none" w:color="000000" w:sz="4" w:space="0"/>
          <w:left w:val="single" w:color="000000" w:themeColor="accent3" w:themeTint="98" w:sz="4" w:space="0"/>
          <w:bottom w:val="none" w:color="000000" w:sz="4" w:space="0"/>
          <w:right w:val="none" w:color="000000" w:sz="4" w:space="0"/>
        </w:tcBorders>
      </w:tcPr>
    </w:tblStylePr>
    <w:tblStylePr w:type="lastRow">
      <w:rPr>
        <w:rFonts w:ascii="Arial" w:hAnsi="Arial"/>
        <w:i/>
        <w:color w:val="7c983f" w:themeColor="accent3" w:themeTint="98" w:themeShade="95"/>
        <w:sz w:val="22"/>
      </w:rPr>
      <w:tcPr>
        <w:shd w:val="clear" w:color="ffffff" w:themeColor="light1" w:fill="ffffff" w:themeFill="light1"/>
        <w:tcBorders>
          <w:top w:val="single" w:color="000000" w:themeColor="accent3" w:themeTint="98" w:sz="4" w:space="0"/>
          <w:left w:val="none" w:color="000000" w:sz="4" w:space="0"/>
          <w:bottom w:val="none" w:color="000000" w:sz="4" w:space="0"/>
          <w:right w:val="none" w:color="000000" w:sz="4" w:space="0"/>
        </w:tcBorders>
      </w:tcPr>
    </w:tblStylePr>
    <w:tblStylePr w:type="wholeTable">
      <w:rPr>
        <w:rFonts w:ascii="Arial" w:hAnsi="Arial"/>
        <w:color w:val="7c983f" w:themeColor="accent3" w:themeTint="98" w:themeShade="95"/>
        <w:sz w:val="22"/>
      </w:rPr>
    </w:tblStylePr>
  </w:style>
  <w:style w:type="table" w:styleId="892">
    <w:name w:val="List Table 7 Colorful - Accent 4"/>
    <w:uiPriority w:val="99"/>
    <w:pPr>
      <w:spacing w:after="0" w:line="240" w:lineRule="auto"/>
    </w:pPr>
    <w:tblPr>
      <w:tblStyleRowBandSize w:val="1"/>
      <w:tblStyleColBandSize w:val="1"/>
      <w:tblInd w:w="0" w:type="dxa"/>
      <w:tblBorders>
        <w:right w:val="single" w:color="000000" w:themeColor="accent4" w:themeTint="9A" w:sz="4" w:space="0"/>
      </w:tblBorders>
    </w:tblPr>
    <w:tblStylePr w:type="band1Horz">
      <w:rPr>
        <w:rFonts w:ascii="Arial" w:hAnsi="Arial"/>
        <w:color w:val="664f82" w:themeColor="accent4" w:themeTint="9A" w:themeShade="95"/>
        <w:sz w:val="22"/>
      </w:rPr>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band2Horz">
      <w:rPr>
        <w:rFonts w:ascii="Arial" w:hAnsi="Arial"/>
        <w:color w:val="664f82" w:themeColor="accent4" w:themeTint="9A" w:themeShade="95"/>
        <w:sz w:val="22"/>
      </w:rPr>
    </w:tblStylePr>
    <w:tblStylePr w:type="firstCol">
      <w:rPr>
        <w:rFonts w:ascii="Arial" w:hAnsi="Arial"/>
        <w:i/>
        <w:color w:val="664f82" w:themeColor="accent4"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i/>
        <w:color w:val="664f82" w:themeColor="accent4" w:themeTint="9A" w:themeShade="95"/>
        <w:sz w:val="22"/>
      </w:r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64f82" w:themeColor="accent4" w:themeTint="9A" w:themeShade="95"/>
        <w:sz w:val="22"/>
      </w:r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i/>
        <w:color w:val="664f82" w:themeColor="accent4" w:themeTint="9A" w:themeShade="95"/>
        <w:sz w:val="22"/>
      </w:r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wholeTable">
      <w:rPr>
        <w:rFonts w:ascii="Arial" w:hAnsi="Arial"/>
        <w:color w:val="664f82" w:themeColor="accent4" w:themeTint="9A" w:themeShade="95"/>
        <w:sz w:val="22"/>
      </w:rPr>
    </w:tblStylePr>
  </w:style>
  <w:style w:type="table" w:styleId="893">
    <w:name w:val="List Table 7 Colorful - Accent 5"/>
    <w:uiPriority w:val="99"/>
    <w:pPr>
      <w:spacing w:after="0" w:line="240" w:lineRule="auto"/>
    </w:pPr>
    <w:tblPr>
      <w:tblStyleRowBandSize w:val="1"/>
      <w:tblStyleColBandSize w:val="1"/>
      <w:tblInd w:w="0" w:type="dxa"/>
      <w:tblBorders>
        <w:right w:val="single" w:color="000000" w:themeColor="accent5" w:themeTint="9A" w:sz="4" w:space="0"/>
      </w:tblBorders>
    </w:tblPr>
    <w:tblStylePr w:type="band1Horz">
      <w:rPr>
        <w:rFonts w:ascii="Arial" w:hAnsi="Arial"/>
        <w:color w:val="338aa0" w:themeColor="accent5" w:themeTint="9A" w:themeShade="95"/>
        <w:sz w:val="22"/>
      </w:rPr>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band2Horz">
      <w:rPr>
        <w:rFonts w:ascii="Arial" w:hAnsi="Arial"/>
        <w:color w:val="338aa0" w:themeColor="accent5" w:themeTint="9A" w:themeShade="95"/>
        <w:sz w:val="22"/>
      </w:rPr>
    </w:tblStylePr>
    <w:tblStylePr w:type="firstCol">
      <w:rPr>
        <w:rFonts w:ascii="Arial" w:hAnsi="Arial"/>
        <w:i/>
        <w:color w:val="338aa0" w:themeColor="accent5"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5" w:themeTint="9A" w:sz="4" w:space="0"/>
        </w:tcBorders>
      </w:tcPr>
    </w:tblStylePr>
    <w:tblStylePr w:type="firstRow">
      <w:rPr>
        <w:rFonts w:ascii="Arial" w:hAnsi="Arial"/>
        <w:i/>
        <w:color w:val="338aa0" w:themeColor="accent5" w:themeTint="9A" w:themeShade="95"/>
        <w:sz w:val="22"/>
      </w:rPr>
      <w:tcPr>
        <w:shd w:val="clear" w:color="ffffff" w:themeColor="light1" w:fill="ffffff" w:themeFill="light1"/>
        <w:tcBorders>
          <w:top w:val="none" w:color="000000" w:sz="4" w:space="0"/>
          <w:left w:val="none" w:color="000000" w:sz="4" w:space="0"/>
          <w:bottom w:val="single" w:color="000000" w:themeColor="accent5" w:themeTint="9A" w:sz="4" w:space="0"/>
          <w:right w:val="none" w:color="000000" w:sz="4" w:space="0"/>
        </w:tcBorders>
      </w:tcPr>
    </w:tblStylePr>
    <w:tblStylePr w:type="lastCol">
      <w:rPr>
        <w:rFonts w:ascii="Arial" w:hAnsi="Arial"/>
        <w:i/>
        <w:color w:val="338aa0" w:themeColor="accent5" w:themeTint="9A" w:themeShade="95"/>
        <w:sz w:val="22"/>
      </w:rPr>
      <w:tcPr>
        <w:shd w:val="clear" w:color="ffffff"/>
        <w:tcBorders>
          <w:top w:val="none" w:color="000000" w:sz="4" w:space="0"/>
          <w:left w:val="single" w:color="000000" w:themeColor="accent5" w:themeTint="9A" w:sz="4" w:space="0"/>
          <w:bottom w:val="none" w:color="000000" w:sz="4" w:space="0"/>
          <w:right w:val="none" w:color="000000" w:sz="4" w:space="0"/>
        </w:tcBorders>
      </w:tcPr>
    </w:tblStylePr>
    <w:tblStylePr w:type="lastRow">
      <w:rPr>
        <w:rFonts w:ascii="Arial" w:hAnsi="Arial"/>
        <w:i/>
        <w:color w:val="338aa0" w:themeColor="accent5" w:themeTint="9A" w:themeShade="95"/>
        <w:sz w:val="22"/>
      </w:rPr>
      <w:tcPr>
        <w:shd w:val="clear" w:color="ffffff" w:themeColor="light1" w:fill="ffffff" w:themeFill="light1"/>
        <w:tcBorders>
          <w:top w:val="single" w:color="000000" w:themeColor="accent5" w:themeTint="9A" w:sz="4" w:space="0"/>
          <w:left w:val="none" w:color="000000" w:sz="4" w:space="0"/>
          <w:bottom w:val="none" w:color="000000" w:sz="4" w:space="0"/>
          <w:right w:val="none" w:color="000000" w:sz="4" w:space="0"/>
        </w:tcBorders>
      </w:tcPr>
    </w:tblStylePr>
    <w:tblStylePr w:type="wholeTable">
      <w:rPr>
        <w:rFonts w:ascii="Arial" w:hAnsi="Arial"/>
        <w:color w:val="338aa0" w:themeColor="accent5" w:themeTint="9A" w:themeShade="95"/>
        <w:sz w:val="22"/>
      </w:rPr>
    </w:tblStylePr>
  </w:style>
  <w:style w:type="table" w:styleId="894">
    <w:name w:val="List Table 7 Colorful - Accent 6"/>
    <w:uiPriority w:val="99"/>
    <w:pPr>
      <w:spacing w:after="0" w:line="240" w:lineRule="auto"/>
    </w:pPr>
    <w:tblPr>
      <w:tblStyleRowBandSize w:val="1"/>
      <w:tblStyleColBandSize w:val="1"/>
      <w:tblInd w:w="0" w:type="dxa"/>
      <w:tblBorders>
        <w:right w:val="single" w:color="000000" w:themeColor="accent6" w:themeTint="98" w:sz="4" w:space="0"/>
      </w:tblBorders>
    </w:tblPr>
    <w:tblStylePr w:type="band1Horz">
      <w:rPr>
        <w:rFonts w:ascii="Arial" w:hAnsi="Arial"/>
        <w:color w:val="d9680c" w:themeColor="accent6" w:themeTint="98" w:themeShade="95"/>
        <w:sz w:val="22"/>
      </w:rPr>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band2Horz">
      <w:rPr>
        <w:rFonts w:ascii="Arial" w:hAnsi="Arial"/>
        <w:color w:val="d9680c" w:themeColor="accent6" w:themeTint="98" w:themeShade="95"/>
        <w:sz w:val="22"/>
      </w:rPr>
    </w:tblStylePr>
    <w:tblStylePr w:type="firstCol">
      <w:rPr>
        <w:rFonts w:ascii="Arial" w:hAnsi="Arial"/>
        <w:i/>
        <w:color w:val="d9680c" w:themeColor="accent6" w:themeTint="98" w:themeShade="95"/>
        <w:sz w:val="22"/>
      </w:rPr>
      <w:pPr>
        <w:jc w:val="right"/>
      </w:pPr>
      <w:tcPr>
        <w:shd w:val="clear" w:color="ffffff"/>
        <w:tcBorders>
          <w:top w:val="none" w:color="000000" w:sz="4" w:space="0"/>
          <w:left w:val="none" w:color="000000" w:sz="4" w:space="0"/>
          <w:bottom w:val="none" w:color="000000" w:sz="4" w:space="0"/>
          <w:right w:val="single" w:color="000000" w:themeColor="accent6" w:themeTint="98" w:sz="4" w:space="0"/>
        </w:tcBorders>
      </w:tcPr>
    </w:tblStylePr>
    <w:tblStylePr w:type="firstRow">
      <w:rPr>
        <w:rFonts w:ascii="Arial" w:hAnsi="Arial"/>
        <w:i/>
        <w:color w:val="d9680c" w:themeColor="accent6" w:themeTint="98" w:themeShade="95"/>
        <w:sz w:val="22"/>
      </w:rPr>
      <w:tcPr>
        <w:shd w:val="clear" w:color="ffffff" w:themeColor="light1" w:fill="ffffff" w:themeFill="light1"/>
        <w:tcBorders>
          <w:top w:val="none" w:color="000000" w:sz="4" w:space="0"/>
          <w:left w:val="none" w:color="000000" w:sz="4" w:space="0"/>
          <w:bottom w:val="single" w:color="000000" w:themeColor="accent6" w:themeTint="98" w:sz="4" w:space="0"/>
          <w:right w:val="none" w:color="000000" w:sz="4" w:space="0"/>
        </w:tcBorders>
      </w:tcPr>
    </w:tblStylePr>
    <w:tblStylePr w:type="lastCol">
      <w:rPr>
        <w:rFonts w:ascii="Arial" w:hAnsi="Arial"/>
        <w:i/>
        <w:color w:val="d9680c" w:themeColor="accent6" w:themeTint="98" w:themeShade="95"/>
        <w:sz w:val="22"/>
      </w:rPr>
      <w:tcPr>
        <w:shd w:val="clear" w:color="ffffff"/>
        <w:tcBorders>
          <w:top w:val="none" w:color="000000" w:sz="4" w:space="0"/>
          <w:left w:val="single" w:color="000000" w:themeColor="accent6" w:themeTint="98" w:sz="4" w:space="0"/>
          <w:bottom w:val="none" w:color="000000" w:sz="4" w:space="0"/>
          <w:right w:val="none" w:color="000000" w:sz="4" w:space="0"/>
        </w:tcBorders>
      </w:tcPr>
    </w:tblStylePr>
    <w:tblStylePr w:type="lastRow">
      <w:rPr>
        <w:rFonts w:ascii="Arial" w:hAnsi="Arial"/>
        <w:i/>
        <w:color w:val="d9680c" w:themeColor="accent6" w:themeTint="98" w:themeShade="95"/>
        <w:sz w:val="22"/>
      </w:rPr>
      <w:tcPr>
        <w:shd w:val="clear" w:color="ffffff" w:themeColor="light1" w:fill="ffffff" w:themeFill="light1"/>
        <w:tcBorders>
          <w:top w:val="single" w:color="000000" w:themeColor="accent6" w:themeTint="98" w:sz="4" w:space="0"/>
          <w:left w:val="none" w:color="000000" w:sz="4" w:space="0"/>
          <w:bottom w:val="none" w:color="000000" w:sz="4" w:space="0"/>
          <w:right w:val="none" w:color="000000" w:sz="4" w:space="0"/>
        </w:tcBorders>
      </w:tcPr>
    </w:tblStylePr>
    <w:tblStylePr w:type="wholeTable">
      <w:rPr>
        <w:rFonts w:ascii="Arial" w:hAnsi="Arial"/>
        <w:color w:val="d9680c" w:themeColor="accent6" w:themeTint="98" w:themeShade="95"/>
        <w:sz w:val="22"/>
      </w:rPr>
    </w:tblStylePr>
  </w:style>
  <w:style w:type="table" w:styleId="895">
    <w:name w:val="Lined - Accent"/>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896">
    <w:name w:val="Lined - Accent 1"/>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7d7ea" w:themeFill="accent1" w:themeFillTint="50"/>
      </w:tcPr>
    </w:tblStylePr>
    <w:tblStylePr w:type="band2Vert">
      <w:rPr>
        <w:rFonts w:ascii="Arial" w:hAnsi="Arial"/>
        <w:color w:val="404040"/>
        <w:sz w:val="22"/>
      </w:rPr>
      <w:tcPr>
        <w:shd w:val="clear" w:color="ffffff" w:themeColor="accent1" w:themeTint="50" w:fill="c7d7ea" w:themeFill="accent1" w:themeFillTint="50"/>
      </w:tcPr>
    </w:tblStylePr>
    <w:tblStylePr w:type="firstCol">
      <w:rPr>
        <w:rFonts w:ascii="Arial" w:hAnsi="Arial"/>
        <w:color w:val="f2f2f2"/>
        <w:sz w:val="22"/>
      </w:rPr>
      <w:tcPr>
        <w:shd w:val="clear" w:color="ffffff" w:themeColor="accent1" w:themeTint="EA" w:fill="5d8dc2" w:themeFill="accent1" w:themeFillTint="EA"/>
      </w:tcPr>
    </w:tblStylePr>
    <w:tblStylePr w:type="firstRow">
      <w:rPr>
        <w:rFonts w:ascii="Arial" w:hAnsi="Arial"/>
        <w:color w:val="f2f2f2"/>
        <w:sz w:val="22"/>
      </w:rPr>
      <w:tcPr>
        <w:shd w:val="clear" w:color="ffffff" w:themeColor="accent1" w:themeTint="EA" w:fill="5d8dc2" w:themeFill="accent1" w:themeFillTint="EA"/>
      </w:tcPr>
    </w:tblStylePr>
    <w:tblStylePr w:type="lastCol">
      <w:rPr>
        <w:rFonts w:ascii="Arial" w:hAnsi="Arial"/>
        <w:color w:val="f2f2f2"/>
        <w:sz w:val="22"/>
      </w:rPr>
      <w:tcPr>
        <w:shd w:val="clear" w:color="ffffff" w:themeColor="accent1" w:themeTint="EA" w:fill="5d8dc2" w:themeFill="accent1" w:themeFillTint="EA"/>
      </w:tcPr>
    </w:tblStylePr>
    <w:tblStylePr w:type="lastRow">
      <w:rPr>
        <w:rFonts w:ascii="Arial" w:hAnsi="Arial"/>
        <w:color w:val="f2f2f2"/>
        <w:sz w:val="22"/>
      </w:rPr>
      <w:tcPr>
        <w:shd w:val="clear" w:color="ffffff" w:themeColor="accent1" w:themeTint="EA" w:fill="5d8dc2" w:themeFill="accent1" w:themeFillTint="EA"/>
      </w:tcPr>
    </w:tblStylePr>
  </w:style>
  <w:style w:type="table" w:styleId="897">
    <w:name w:val="Lined - Accent 2"/>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2dcdb" w:themeFill="accent2" w:themeFillTint="32"/>
      </w:tcPr>
    </w:tblStylePr>
    <w:tblStylePr w:type="band2Vert">
      <w:rPr>
        <w:rFonts w:ascii="Arial" w:hAnsi="Arial"/>
        <w:color w:val="404040"/>
        <w:sz w:val="22"/>
      </w:rPr>
      <w:tcPr>
        <w:shd w:val="clear" w:color="ffffff" w:themeColor="accent2" w:themeTint="32" w:fill="f2dcdb" w:themeFill="accent2" w:themeFillTint="32"/>
      </w:tcPr>
    </w:tblStylePr>
    <w:tblStylePr w:type="firstCol">
      <w:rPr>
        <w:rFonts w:ascii="Arial" w:hAnsi="Arial"/>
        <w:color w:val="f2f2f2"/>
        <w:sz w:val="22"/>
      </w:rPr>
      <w:tcPr>
        <w:shd w:val="clear" w:color="ffffff" w:themeColor="accent2" w:themeTint="97" w:fill="d99694" w:themeFill="accent2" w:themeFillTint="97"/>
      </w:tcPr>
    </w:tblStylePr>
    <w:tblStylePr w:type="firstRow">
      <w:rPr>
        <w:rFonts w:ascii="Arial" w:hAnsi="Arial"/>
        <w:color w:val="f2f2f2"/>
        <w:sz w:val="22"/>
      </w:rPr>
      <w:tcPr>
        <w:shd w:val="clear" w:color="ffffff" w:themeColor="accent2" w:themeTint="97" w:fill="d99694" w:themeFill="accent2" w:themeFillTint="97"/>
      </w:tcPr>
    </w:tblStylePr>
    <w:tblStylePr w:type="lastCol">
      <w:rPr>
        <w:rFonts w:ascii="Arial" w:hAnsi="Arial"/>
        <w:color w:val="f2f2f2"/>
        <w:sz w:val="22"/>
      </w:rPr>
      <w:tcPr>
        <w:shd w:val="clear" w:color="ffffff" w:themeColor="accent2" w:themeTint="97" w:fill="d99694" w:themeFill="accent2" w:themeFillTint="97"/>
      </w:tcPr>
    </w:tblStylePr>
    <w:tblStylePr w:type="lastRow">
      <w:rPr>
        <w:rFonts w:ascii="Arial" w:hAnsi="Arial"/>
        <w:color w:val="f2f2f2"/>
        <w:sz w:val="22"/>
      </w:rPr>
      <w:tcPr>
        <w:shd w:val="clear" w:color="ffffff" w:themeColor="accent2" w:themeTint="97" w:fill="d99694" w:themeFill="accent2" w:themeFillTint="97"/>
      </w:tcPr>
    </w:tblStylePr>
  </w:style>
  <w:style w:type="table" w:styleId="898">
    <w:name w:val="Lined - Accent 3"/>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af0dd" w:themeFill="accent3" w:themeFillTint="34"/>
      </w:tcPr>
    </w:tblStylePr>
    <w:tblStylePr w:type="band2Vert">
      <w:rPr>
        <w:rFonts w:ascii="Arial" w:hAnsi="Arial"/>
        <w:color w:val="404040"/>
        <w:sz w:val="22"/>
      </w:rPr>
      <w:tcPr>
        <w:shd w:val="clear" w:color="ffffff" w:themeColor="accent3" w:themeTint="34" w:fill="eaf0dd" w:themeFill="accent3" w:themeFillTint="34"/>
      </w:tcPr>
    </w:tblStylePr>
    <w:tblStylePr w:type="firstCol">
      <w:rPr>
        <w:rFonts w:ascii="Arial" w:hAnsi="Arial"/>
        <w:color w:val="f2f2f2"/>
        <w:sz w:val="22"/>
      </w:rPr>
      <w:tcPr>
        <w:shd w:val="clear" w:color="ffffff" w:themeColor="accent3" w:themeTint="FE" w:fill="9bba59" w:themeFill="accent3" w:themeFillTint="FE"/>
      </w:tcPr>
    </w:tblStylePr>
    <w:tblStylePr w:type="firstRow">
      <w:rPr>
        <w:rFonts w:ascii="Arial" w:hAnsi="Arial"/>
        <w:color w:val="f2f2f2"/>
        <w:sz w:val="22"/>
      </w:rPr>
      <w:tcPr>
        <w:shd w:val="clear" w:color="ffffff" w:themeColor="accent3" w:themeTint="FE" w:fill="9bba59" w:themeFill="accent3" w:themeFillTint="FE"/>
      </w:tcPr>
    </w:tblStylePr>
    <w:tblStylePr w:type="lastCol">
      <w:rPr>
        <w:rFonts w:ascii="Arial" w:hAnsi="Arial"/>
        <w:color w:val="f2f2f2"/>
        <w:sz w:val="22"/>
      </w:rPr>
      <w:tcPr>
        <w:shd w:val="clear" w:color="ffffff" w:themeColor="accent3" w:themeTint="FE" w:fill="9bba59" w:themeFill="accent3" w:themeFillTint="FE"/>
      </w:tcPr>
    </w:tblStylePr>
    <w:tblStylePr w:type="lastRow">
      <w:rPr>
        <w:rFonts w:ascii="Arial" w:hAnsi="Arial"/>
        <w:color w:val="f2f2f2"/>
        <w:sz w:val="22"/>
      </w:rPr>
      <w:tcPr>
        <w:shd w:val="clear" w:color="ffffff" w:themeColor="accent3" w:themeTint="FE" w:fill="9bba59" w:themeFill="accent3" w:themeFillTint="FE"/>
      </w:tcPr>
    </w:tblStylePr>
  </w:style>
  <w:style w:type="table" w:styleId="899">
    <w:name w:val="Lined - Accent 4"/>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e5dfec" w:themeFill="accent4" w:themeFillTint="34"/>
      </w:tcPr>
    </w:tblStylePr>
    <w:tblStylePr w:type="band2Vert">
      <w:rPr>
        <w:rFonts w:ascii="Arial" w:hAnsi="Arial"/>
        <w:color w:val="404040"/>
        <w:sz w:val="22"/>
      </w:rPr>
      <w:tcPr>
        <w:shd w:val="clear" w:color="ffffff" w:themeColor="accent4" w:themeTint="34" w:fill="e5dfec" w:themeFill="accent4" w:themeFillTint="34"/>
      </w:tcPr>
    </w:tblStylePr>
    <w:tblStylePr w:type="firstCol">
      <w:rPr>
        <w:rFonts w:ascii="Arial" w:hAnsi="Arial"/>
        <w:color w:val="f2f2f2"/>
        <w:sz w:val="22"/>
      </w:rPr>
      <w:tcPr>
        <w:shd w:val="clear" w:color="ffffff" w:themeColor="accent4" w:themeTint="9A" w:fill="b2a1c6" w:themeFill="accent4" w:themeFillTint="9A"/>
      </w:tcPr>
    </w:tblStylePr>
    <w:tblStylePr w:type="firstRow">
      <w:rPr>
        <w:rFonts w:ascii="Arial" w:hAnsi="Arial"/>
        <w:color w:val="f2f2f2"/>
        <w:sz w:val="22"/>
      </w:rPr>
      <w:tcPr>
        <w:shd w:val="clear" w:color="ffffff" w:themeColor="accent4" w:themeTint="9A" w:fill="b2a1c6" w:themeFill="accent4" w:themeFillTint="9A"/>
      </w:tcPr>
    </w:tblStylePr>
    <w:tblStylePr w:type="lastCol">
      <w:rPr>
        <w:rFonts w:ascii="Arial" w:hAnsi="Arial"/>
        <w:color w:val="f2f2f2"/>
        <w:sz w:val="22"/>
      </w:rPr>
      <w:tcPr>
        <w:shd w:val="clear" w:color="ffffff" w:themeColor="accent4" w:themeTint="9A" w:fill="b2a1c6" w:themeFill="accent4" w:themeFillTint="9A"/>
      </w:tcPr>
    </w:tblStylePr>
    <w:tblStylePr w:type="lastRow">
      <w:rPr>
        <w:rFonts w:ascii="Arial" w:hAnsi="Arial"/>
        <w:color w:val="f2f2f2"/>
        <w:sz w:val="22"/>
      </w:rPr>
      <w:tcPr>
        <w:shd w:val="clear" w:color="ffffff" w:themeColor="accent4" w:themeTint="9A" w:fill="b2a1c6" w:themeFill="accent4" w:themeFillTint="9A"/>
      </w:tcPr>
    </w:tblStylePr>
  </w:style>
  <w:style w:type="table" w:styleId="900">
    <w:name w:val="Lined - Accent 5"/>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aeef3" w:themeFill="accent5" w:themeFillTint="34"/>
      </w:tcPr>
    </w:tblStylePr>
    <w:tblStylePr w:type="band2Vert">
      <w:rPr>
        <w:rFonts w:ascii="Arial" w:hAnsi="Arial"/>
        <w:color w:val="404040"/>
        <w:sz w:val="22"/>
      </w:rPr>
      <w:tcPr>
        <w:shd w:val="clear" w:color="ffffff" w:themeColor="accent5" w:themeTint="34" w:fill="daeef3" w:themeFill="accent5" w:themeFillTint="34"/>
      </w:tcPr>
    </w:tblStylePr>
    <w:tblStylePr w:type="firstCol">
      <w:rPr>
        <w:rFonts w:ascii="Arial" w:hAnsi="Arial"/>
        <w:color w:val="f2f2f2"/>
        <w:sz w:val="22"/>
      </w:rPr>
      <w:tcPr>
        <w:shd w:val="clear" w:color="ffffff" w:themeColor="accent5" w:fill="4bacc6" w:themeFill="accent5"/>
      </w:tcPr>
    </w:tblStylePr>
    <w:tblStylePr w:type="firstRow">
      <w:rPr>
        <w:rFonts w:ascii="Arial" w:hAnsi="Arial"/>
        <w:color w:val="f2f2f2"/>
        <w:sz w:val="22"/>
      </w:rPr>
      <w:tcPr>
        <w:shd w:val="clear" w:color="ffffff" w:themeColor="accent5" w:fill="4bacc6" w:themeFill="accent5"/>
      </w:tcPr>
    </w:tblStylePr>
    <w:tblStylePr w:type="lastCol">
      <w:rPr>
        <w:rFonts w:ascii="Arial" w:hAnsi="Arial"/>
        <w:color w:val="f2f2f2"/>
        <w:sz w:val="22"/>
      </w:rPr>
      <w:tcPr>
        <w:shd w:val="clear" w:color="ffffff" w:themeColor="accent5" w:fill="4bacc6" w:themeFill="accent5"/>
      </w:tcPr>
    </w:tblStylePr>
    <w:tblStylePr w:type="lastRow">
      <w:rPr>
        <w:rFonts w:ascii="Arial" w:hAnsi="Arial"/>
        <w:color w:val="f2f2f2"/>
        <w:sz w:val="22"/>
      </w:rPr>
      <w:tcPr>
        <w:shd w:val="clear" w:color="ffffff" w:themeColor="accent5" w:fill="4bacc6" w:themeFill="accent5"/>
      </w:tcPr>
    </w:tblStylePr>
  </w:style>
  <w:style w:type="table" w:styleId="901">
    <w:name w:val="Lined - Accent 6"/>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fde9d8" w:themeFill="accent6" w:themeFillTint="34"/>
      </w:tcPr>
    </w:tblStylePr>
    <w:tblStylePr w:type="band2Vert">
      <w:rPr>
        <w:rFonts w:ascii="Arial" w:hAnsi="Arial"/>
        <w:color w:val="404040"/>
        <w:sz w:val="22"/>
      </w:rPr>
      <w:tcPr>
        <w:shd w:val="clear" w:color="ffffff" w:themeColor="accent6" w:themeTint="34" w:fill="fde9d8" w:themeFill="accent6" w:themeFillTint="34"/>
      </w:tcPr>
    </w:tblStylePr>
    <w:tblStylePr w:type="firstCol">
      <w:rPr>
        <w:rFonts w:ascii="Arial" w:hAnsi="Arial"/>
        <w:color w:val="f2f2f2"/>
        <w:sz w:val="22"/>
      </w:rPr>
      <w:tcPr>
        <w:shd w:val="clear" w:color="ffffff" w:themeColor="accent6" w:fill="f79646" w:themeFill="accent6"/>
      </w:tcPr>
    </w:tblStylePr>
    <w:tblStylePr w:type="firstRow">
      <w:rPr>
        <w:rFonts w:ascii="Arial" w:hAnsi="Arial"/>
        <w:color w:val="f2f2f2"/>
        <w:sz w:val="22"/>
      </w:rPr>
      <w:tcPr>
        <w:shd w:val="clear" w:color="ffffff" w:themeColor="accent6" w:fill="f79646" w:themeFill="accent6"/>
      </w:tcPr>
    </w:tblStylePr>
    <w:tblStylePr w:type="lastCol">
      <w:rPr>
        <w:rFonts w:ascii="Arial" w:hAnsi="Arial"/>
        <w:color w:val="f2f2f2"/>
        <w:sz w:val="22"/>
      </w:rPr>
      <w:tcPr>
        <w:shd w:val="clear" w:color="ffffff" w:themeColor="accent6" w:fill="f79646" w:themeFill="accent6"/>
      </w:tcPr>
    </w:tblStylePr>
    <w:tblStylePr w:type="lastRow">
      <w:rPr>
        <w:rFonts w:ascii="Arial" w:hAnsi="Arial"/>
        <w:color w:val="f2f2f2"/>
        <w:sz w:val="22"/>
      </w:rPr>
      <w:tcPr>
        <w:shd w:val="clear" w:color="ffffff" w:themeColor="accent6" w:fill="f79646" w:themeFill="accent6"/>
      </w:tcPr>
    </w:tblStylePr>
  </w:style>
  <w:style w:type="table" w:styleId="902">
    <w:name w:val="Bordered &amp; Lined - Accent"/>
    <w:uiPriority w:val="99"/>
    <w:pPr>
      <w:spacing w:after="0" w:line="240" w:lineRule="auto"/>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903">
    <w:name w:val="Bordered &amp; Lined - Accent 1"/>
    <w:uiPriority w:val="99"/>
    <w:pPr>
      <w:spacing w:after="0" w:line="240" w:lineRule="auto"/>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7d7ea" w:themeFill="accent1" w:themeFillTint="50"/>
      </w:tcPr>
    </w:tblStylePr>
    <w:tblStylePr w:type="band2Vert">
      <w:rPr>
        <w:rFonts w:ascii="Arial" w:hAnsi="Arial"/>
        <w:color w:val="404040"/>
        <w:sz w:val="22"/>
      </w:rPr>
      <w:tcPr>
        <w:shd w:val="clear" w:color="ffffff" w:themeColor="accent1" w:themeTint="50" w:fill="c7d7ea" w:themeFill="accent1" w:themeFillTint="50"/>
      </w:tcPr>
    </w:tblStylePr>
    <w:tblStylePr w:type="firstCol">
      <w:rPr>
        <w:rFonts w:ascii="Arial" w:hAnsi="Arial"/>
        <w:color w:val="f2f2f2"/>
        <w:sz w:val="22"/>
      </w:rPr>
      <w:tcPr>
        <w:shd w:val="clear" w:color="ffffff" w:themeColor="accent1" w:themeTint="EA" w:fill="5d8dc2" w:themeFill="accent1" w:themeFillTint="EA"/>
      </w:tcPr>
    </w:tblStylePr>
    <w:tblStylePr w:type="firstRow">
      <w:rPr>
        <w:rFonts w:ascii="Arial" w:hAnsi="Arial"/>
        <w:color w:val="f2f2f2"/>
        <w:sz w:val="22"/>
      </w:rPr>
      <w:tcPr>
        <w:shd w:val="clear" w:color="ffffff" w:themeColor="accent1" w:themeTint="EA" w:fill="5d8dc2" w:themeFill="accent1" w:themeFillTint="EA"/>
      </w:tcPr>
    </w:tblStylePr>
    <w:tblStylePr w:type="lastCol">
      <w:rPr>
        <w:rFonts w:ascii="Arial" w:hAnsi="Arial"/>
        <w:color w:val="f2f2f2"/>
        <w:sz w:val="22"/>
      </w:rPr>
      <w:tcPr>
        <w:shd w:val="clear" w:color="ffffff" w:themeColor="accent1" w:themeTint="EA" w:fill="5d8dc2" w:themeFill="accent1" w:themeFillTint="EA"/>
      </w:tcPr>
    </w:tblStylePr>
    <w:tblStylePr w:type="lastRow">
      <w:rPr>
        <w:rFonts w:ascii="Arial" w:hAnsi="Arial"/>
        <w:color w:val="f2f2f2"/>
        <w:sz w:val="22"/>
      </w:rPr>
      <w:tcPr>
        <w:shd w:val="clear" w:color="ffffff" w:themeColor="accent1" w:themeTint="EA" w:fill="5d8dc2" w:themeFill="accent1" w:themeFillTint="EA"/>
      </w:tcPr>
    </w:tblStylePr>
  </w:style>
  <w:style w:type="table" w:styleId="904">
    <w:name w:val="Bordered &amp; Lined - Accent 2"/>
    <w:uiPriority w:val="99"/>
    <w:pPr>
      <w:spacing w:after="0" w:line="240" w:lineRule="auto"/>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2dcdb" w:themeFill="accent2" w:themeFillTint="32"/>
      </w:tcPr>
    </w:tblStylePr>
    <w:tblStylePr w:type="band2Vert">
      <w:rPr>
        <w:rFonts w:ascii="Arial" w:hAnsi="Arial"/>
        <w:color w:val="404040"/>
        <w:sz w:val="22"/>
      </w:rPr>
      <w:tcPr>
        <w:shd w:val="clear" w:color="ffffff" w:themeColor="accent2" w:themeTint="32" w:fill="f2dcdb" w:themeFill="accent2" w:themeFillTint="32"/>
      </w:tcPr>
    </w:tblStylePr>
    <w:tblStylePr w:type="firstCol">
      <w:rPr>
        <w:rFonts w:ascii="Arial" w:hAnsi="Arial"/>
        <w:color w:val="f2f2f2"/>
        <w:sz w:val="22"/>
      </w:rPr>
      <w:tcPr>
        <w:shd w:val="clear" w:color="ffffff" w:themeColor="accent2" w:themeTint="97" w:fill="d99694" w:themeFill="accent2" w:themeFillTint="97"/>
      </w:tcPr>
    </w:tblStylePr>
    <w:tblStylePr w:type="firstRow">
      <w:rPr>
        <w:rFonts w:ascii="Arial" w:hAnsi="Arial"/>
        <w:color w:val="f2f2f2"/>
        <w:sz w:val="22"/>
      </w:rPr>
      <w:tcPr>
        <w:shd w:val="clear" w:color="ffffff" w:themeColor="accent2" w:themeTint="97" w:fill="d99694" w:themeFill="accent2" w:themeFillTint="97"/>
      </w:tcPr>
    </w:tblStylePr>
    <w:tblStylePr w:type="lastCol">
      <w:rPr>
        <w:rFonts w:ascii="Arial" w:hAnsi="Arial"/>
        <w:color w:val="f2f2f2"/>
        <w:sz w:val="22"/>
      </w:rPr>
      <w:tcPr>
        <w:shd w:val="clear" w:color="ffffff" w:themeColor="accent2" w:themeTint="97" w:fill="d99694" w:themeFill="accent2" w:themeFillTint="97"/>
      </w:tcPr>
    </w:tblStylePr>
    <w:tblStylePr w:type="lastRow">
      <w:rPr>
        <w:rFonts w:ascii="Arial" w:hAnsi="Arial"/>
        <w:color w:val="f2f2f2"/>
        <w:sz w:val="22"/>
      </w:rPr>
      <w:tcPr>
        <w:shd w:val="clear" w:color="ffffff" w:themeColor="accent2" w:themeTint="97" w:fill="d99694" w:themeFill="accent2" w:themeFillTint="97"/>
      </w:tcPr>
    </w:tblStylePr>
  </w:style>
  <w:style w:type="table" w:styleId="905">
    <w:name w:val="Bordered &amp; Lined - Accent 3"/>
    <w:uiPriority w:val="99"/>
    <w:pPr>
      <w:spacing w:after="0" w:line="240" w:lineRule="auto"/>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af0dd" w:themeFill="accent3" w:themeFillTint="34"/>
      </w:tcPr>
    </w:tblStylePr>
    <w:tblStylePr w:type="band2Vert">
      <w:rPr>
        <w:rFonts w:ascii="Arial" w:hAnsi="Arial"/>
        <w:color w:val="404040"/>
        <w:sz w:val="22"/>
      </w:rPr>
      <w:tcPr>
        <w:shd w:val="clear" w:color="ffffff" w:themeColor="accent3" w:themeTint="34" w:fill="eaf0dd" w:themeFill="accent3" w:themeFillTint="34"/>
      </w:tcPr>
    </w:tblStylePr>
    <w:tblStylePr w:type="firstCol">
      <w:rPr>
        <w:rFonts w:ascii="Arial" w:hAnsi="Arial"/>
        <w:color w:val="f2f2f2"/>
        <w:sz w:val="22"/>
      </w:rPr>
      <w:tcPr>
        <w:shd w:val="clear" w:color="ffffff" w:themeColor="accent3" w:themeTint="FE" w:fill="9bba59" w:themeFill="accent3" w:themeFillTint="FE"/>
      </w:tcPr>
    </w:tblStylePr>
    <w:tblStylePr w:type="firstRow">
      <w:rPr>
        <w:rFonts w:ascii="Arial" w:hAnsi="Arial"/>
        <w:color w:val="f2f2f2"/>
        <w:sz w:val="22"/>
      </w:rPr>
      <w:tcPr>
        <w:shd w:val="clear" w:color="ffffff" w:themeColor="accent3" w:themeTint="FE" w:fill="9bba59" w:themeFill="accent3" w:themeFillTint="FE"/>
      </w:tcPr>
    </w:tblStylePr>
    <w:tblStylePr w:type="lastCol">
      <w:rPr>
        <w:rFonts w:ascii="Arial" w:hAnsi="Arial"/>
        <w:color w:val="f2f2f2"/>
        <w:sz w:val="22"/>
      </w:rPr>
      <w:tcPr>
        <w:shd w:val="clear" w:color="ffffff" w:themeColor="accent3" w:themeTint="FE" w:fill="9bba59" w:themeFill="accent3" w:themeFillTint="FE"/>
      </w:tcPr>
    </w:tblStylePr>
    <w:tblStylePr w:type="lastRow">
      <w:rPr>
        <w:rFonts w:ascii="Arial" w:hAnsi="Arial"/>
        <w:color w:val="f2f2f2"/>
        <w:sz w:val="22"/>
      </w:rPr>
      <w:tcPr>
        <w:shd w:val="clear" w:color="ffffff" w:themeColor="accent3" w:themeTint="FE" w:fill="9bba59" w:themeFill="accent3" w:themeFillTint="FE"/>
      </w:tcPr>
    </w:tblStylePr>
  </w:style>
  <w:style w:type="table" w:styleId="906">
    <w:name w:val="Bordered &amp; Lined - Accent 4"/>
    <w:uiPriority w:val="99"/>
    <w:pPr>
      <w:spacing w:after="0" w:line="240" w:lineRule="auto"/>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e5dfec" w:themeFill="accent4" w:themeFillTint="34"/>
      </w:tcPr>
    </w:tblStylePr>
    <w:tblStylePr w:type="band2Vert">
      <w:rPr>
        <w:rFonts w:ascii="Arial" w:hAnsi="Arial"/>
        <w:color w:val="404040"/>
        <w:sz w:val="22"/>
      </w:rPr>
      <w:tcPr>
        <w:shd w:val="clear" w:color="ffffff" w:themeColor="accent4" w:themeTint="34" w:fill="e5dfec" w:themeFill="accent4" w:themeFillTint="34"/>
      </w:tcPr>
    </w:tblStylePr>
    <w:tblStylePr w:type="firstCol">
      <w:rPr>
        <w:rFonts w:ascii="Arial" w:hAnsi="Arial"/>
        <w:color w:val="f2f2f2"/>
        <w:sz w:val="22"/>
      </w:rPr>
      <w:tcPr>
        <w:shd w:val="clear" w:color="ffffff" w:themeColor="accent4" w:themeTint="9A" w:fill="b2a1c6" w:themeFill="accent4" w:themeFillTint="9A"/>
      </w:tcPr>
    </w:tblStylePr>
    <w:tblStylePr w:type="firstRow">
      <w:rPr>
        <w:rFonts w:ascii="Arial" w:hAnsi="Arial"/>
        <w:color w:val="f2f2f2"/>
        <w:sz w:val="22"/>
      </w:rPr>
      <w:tcPr>
        <w:shd w:val="clear" w:color="ffffff" w:themeColor="accent4" w:themeTint="9A" w:fill="b2a1c6" w:themeFill="accent4" w:themeFillTint="9A"/>
      </w:tcPr>
    </w:tblStylePr>
    <w:tblStylePr w:type="lastCol">
      <w:rPr>
        <w:rFonts w:ascii="Arial" w:hAnsi="Arial"/>
        <w:color w:val="f2f2f2"/>
        <w:sz w:val="22"/>
      </w:rPr>
      <w:tcPr>
        <w:shd w:val="clear" w:color="ffffff" w:themeColor="accent4" w:themeTint="9A" w:fill="b2a1c6" w:themeFill="accent4" w:themeFillTint="9A"/>
      </w:tcPr>
    </w:tblStylePr>
    <w:tblStylePr w:type="lastRow">
      <w:rPr>
        <w:rFonts w:ascii="Arial" w:hAnsi="Arial"/>
        <w:color w:val="f2f2f2"/>
        <w:sz w:val="22"/>
      </w:rPr>
      <w:tcPr>
        <w:shd w:val="clear" w:color="ffffff" w:themeColor="accent4" w:themeTint="9A" w:fill="b2a1c6" w:themeFill="accent4" w:themeFillTint="9A"/>
      </w:tcPr>
    </w:tblStylePr>
  </w:style>
  <w:style w:type="table" w:styleId="907">
    <w:name w:val="Bordered &amp; Lined - Accent 5"/>
    <w:uiPriority w:val="99"/>
    <w:pPr>
      <w:spacing w:after="0" w:line="240" w:lineRule="auto"/>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aeef3" w:themeFill="accent5" w:themeFillTint="34"/>
      </w:tcPr>
    </w:tblStylePr>
    <w:tblStylePr w:type="band2Vert">
      <w:rPr>
        <w:rFonts w:ascii="Arial" w:hAnsi="Arial"/>
        <w:color w:val="404040"/>
        <w:sz w:val="22"/>
      </w:rPr>
      <w:tcPr>
        <w:shd w:val="clear" w:color="ffffff" w:themeColor="accent5" w:themeTint="34" w:fill="daeef3" w:themeFill="accent5" w:themeFillTint="34"/>
      </w:tcPr>
    </w:tblStylePr>
    <w:tblStylePr w:type="firstCol">
      <w:rPr>
        <w:rFonts w:ascii="Arial" w:hAnsi="Arial"/>
        <w:color w:val="f2f2f2"/>
        <w:sz w:val="22"/>
      </w:rPr>
      <w:tcPr>
        <w:shd w:val="clear" w:color="ffffff" w:themeColor="accent5" w:fill="4bacc6" w:themeFill="accent5"/>
      </w:tcPr>
    </w:tblStylePr>
    <w:tblStylePr w:type="firstRow">
      <w:rPr>
        <w:rFonts w:ascii="Arial" w:hAnsi="Arial"/>
        <w:color w:val="f2f2f2"/>
        <w:sz w:val="22"/>
      </w:rPr>
      <w:tcPr>
        <w:shd w:val="clear" w:color="ffffff" w:themeColor="accent5" w:fill="4bacc6" w:themeFill="accent5"/>
      </w:tcPr>
    </w:tblStylePr>
    <w:tblStylePr w:type="lastCol">
      <w:rPr>
        <w:rFonts w:ascii="Arial" w:hAnsi="Arial"/>
        <w:color w:val="f2f2f2"/>
        <w:sz w:val="22"/>
      </w:rPr>
      <w:tcPr>
        <w:shd w:val="clear" w:color="ffffff" w:themeColor="accent5" w:fill="4bacc6" w:themeFill="accent5"/>
      </w:tcPr>
    </w:tblStylePr>
    <w:tblStylePr w:type="lastRow">
      <w:rPr>
        <w:rFonts w:ascii="Arial" w:hAnsi="Arial"/>
        <w:color w:val="f2f2f2"/>
        <w:sz w:val="22"/>
      </w:rPr>
      <w:tcPr>
        <w:shd w:val="clear" w:color="ffffff" w:themeColor="accent5" w:fill="4bacc6" w:themeFill="accent5"/>
      </w:tcPr>
    </w:tblStylePr>
  </w:style>
  <w:style w:type="table" w:styleId="908">
    <w:name w:val="Bordered &amp; Lined - Accent 6"/>
    <w:uiPriority w:val="99"/>
    <w:pPr>
      <w:spacing w:after="0" w:line="240" w:lineRule="auto"/>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fde9d8" w:themeFill="accent6" w:themeFillTint="34"/>
      </w:tcPr>
    </w:tblStylePr>
    <w:tblStylePr w:type="band2Vert">
      <w:rPr>
        <w:rFonts w:ascii="Arial" w:hAnsi="Arial"/>
        <w:color w:val="404040"/>
        <w:sz w:val="22"/>
      </w:rPr>
      <w:tcPr>
        <w:shd w:val="clear" w:color="ffffff" w:themeColor="accent6" w:themeTint="34" w:fill="fde9d8" w:themeFill="accent6" w:themeFillTint="34"/>
      </w:tcPr>
    </w:tblStylePr>
    <w:tblStylePr w:type="firstCol">
      <w:rPr>
        <w:rFonts w:ascii="Arial" w:hAnsi="Arial"/>
        <w:color w:val="f2f2f2"/>
        <w:sz w:val="22"/>
      </w:rPr>
      <w:tcPr>
        <w:shd w:val="clear" w:color="ffffff" w:themeColor="accent6" w:fill="f79646" w:themeFill="accent6"/>
      </w:tcPr>
    </w:tblStylePr>
    <w:tblStylePr w:type="firstRow">
      <w:rPr>
        <w:rFonts w:ascii="Arial" w:hAnsi="Arial"/>
        <w:color w:val="f2f2f2"/>
        <w:sz w:val="22"/>
      </w:rPr>
      <w:tcPr>
        <w:shd w:val="clear" w:color="ffffff" w:themeColor="accent6" w:fill="f79646" w:themeFill="accent6"/>
      </w:tcPr>
    </w:tblStylePr>
    <w:tblStylePr w:type="lastCol">
      <w:rPr>
        <w:rFonts w:ascii="Arial" w:hAnsi="Arial"/>
        <w:color w:val="f2f2f2"/>
        <w:sz w:val="22"/>
      </w:rPr>
      <w:tcPr>
        <w:shd w:val="clear" w:color="ffffff" w:themeColor="accent6" w:fill="f79646" w:themeFill="accent6"/>
      </w:tcPr>
    </w:tblStylePr>
    <w:tblStylePr w:type="lastRow">
      <w:rPr>
        <w:rFonts w:ascii="Arial" w:hAnsi="Arial"/>
        <w:color w:val="f2f2f2"/>
        <w:sz w:val="22"/>
      </w:rPr>
      <w:tcPr>
        <w:shd w:val="clear" w:color="ffffff" w:themeColor="accent6" w:fill="f79646" w:themeFill="accent6"/>
      </w:tcPr>
    </w:tblStylePr>
  </w:style>
  <w:style w:type="table" w:styleId="909">
    <w:name w:val="Bordered"/>
    <w:uiPriority w:val="99"/>
    <w:pPr>
      <w:spacing w:after="0" w:line="240" w:lineRule="auto"/>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blStylePr w:type="band1Horz">
      <w:rPr>
        <w:rFonts w:ascii="Arial" w:hAnsi="Arial"/>
        <w:color w:val="404040"/>
        <w:sz w:val="22"/>
      </w:r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text1" w:themeTint="80" w:sz="12" w:space="0"/>
        </w:tcBorders>
      </w:tcPr>
    </w:tblStylePr>
    <w:tblStylePr w:type="lastCol">
      <w:rPr>
        <w:rFonts w:ascii="Arial" w:hAnsi="Arial"/>
        <w:color w:val="404040"/>
        <w:sz w:val="22"/>
      </w:rPr>
      <w:tcPr>
        <w:tcBorders>
          <w:left w:val="single" w:color="000000" w:themeColor="text1" w:themeTint="80" w:sz="12" w:space="0"/>
        </w:tcBorders>
      </w:tcPr>
    </w:tblStylePr>
    <w:tblStylePr w:type="lastRow">
      <w:rPr>
        <w:rFonts w:ascii="Arial" w:hAnsi="Arial"/>
        <w:color w:val="404040"/>
        <w:sz w:val="22"/>
      </w:rPr>
      <w:tcPr>
        <w:tcBorders>
          <w:top w:val="single" w:color="000000" w:themeColor="text1" w:themeTint="80" w:sz="12" w:space="0"/>
        </w:tcBorders>
      </w:tcPr>
    </w:tblStylePr>
  </w:style>
  <w:style w:type="table" w:styleId="910">
    <w:name w:val="Bordered - Accent 1"/>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1" w:sz="12" w:space="0"/>
        </w:tcBorders>
      </w:tcPr>
    </w:tblStylePr>
    <w:tblStylePr w:type="lastCol">
      <w:rPr>
        <w:rFonts w:ascii="Arial" w:hAnsi="Arial"/>
        <w:color w:val="404040"/>
        <w:sz w:val="22"/>
      </w:rPr>
      <w:tcPr>
        <w:tcBorders>
          <w:left w:val="single" w:color="000000" w:themeColor="accent1" w:sz="12" w:space="0"/>
        </w:tcBorders>
      </w:tcPr>
    </w:tblStylePr>
    <w:tblStylePr w:type="lastRow">
      <w:rPr>
        <w:rFonts w:ascii="Arial" w:hAnsi="Arial"/>
        <w:color w:val="404040"/>
        <w:sz w:val="22"/>
      </w:rPr>
      <w:tcPr>
        <w:tcBorders>
          <w:top w:val="single" w:color="000000" w:themeColor="accent1" w:sz="12" w:space="0"/>
        </w:tcBorders>
      </w:tcPr>
    </w:tblStylePr>
  </w:style>
  <w:style w:type="table" w:styleId="911">
    <w:name w:val="Bordered - Accent 2"/>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2" w:themeTint="97" w:sz="12" w:space="0"/>
        </w:tcBorders>
      </w:tcPr>
    </w:tblStylePr>
    <w:tblStylePr w:type="lastCol">
      <w:rPr>
        <w:rFonts w:ascii="Arial" w:hAnsi="Arial"/>
        <w:color w:val="404040"/>
        <w:sz w:val="22"/>
      </w:rPr>
      <w:tcPr>
        <w:tcBorders>
          <w:left w:val="single" w:color="000000" w:themeColor="accent2" w:themeTint="97" w:sz="12" w:space="0"/>
        </w:tcBorders>
      </w:tcPr>
    </w:tblStylePr>
    <w:tblStylePr w:type="lastRow">
      <w:rPr>
        <w:rFonts w:ascii="Arial" w:hAnsi="Arial"/>
        <w:color w:val="404040"/>
        <w:sz w:val="22"/>
      </w:rPr>
      <w:tcPr>
        <w:tcBorders>
          <w:top w:val="single" w:color="000000" w:themeColor="accent2" w:themeTint="97" w:sz="12" w:space="0"/>
        </w:tcBorders>
      </w:tcPr>
    </w:tblStylePr>
  </w:style>
  <w:style w:type="table" w:styleId="912">
    <w:name w:val="Bordered - Accent 3"/>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3" w:themeTint="98" w:sz="12" w:space="0"/>
        </w:tcBorders>
      </w:tcPr>
    </w:tblStylePr>
    <w:tblStylePr w:type="lastCol">
      <w:rPr>
        <w:rFonts w:ascii="Arial" w:hAnsi="Arial"/>
        <w:color w:val="404040"/>
        <w:sz w:val="22"/>
      </w:rPr>
      <w:tcPr>
        <w:tcBorders>
          <w:left w:val="single" w:color="000000" w:themeColor="accent3" w:themeTint="98" w:sz="12" w:space="0"/>
        </w:tcBorders>
      </w:tcPr>
    </w:tblStylePr>
    <w:tblStylePr w:type="lastRow">
      <w:rPr>
        <w:rFonts w:ascii="Arial" w:hAnsi="Arial"/>
        <w:color w:val="404040"/>
        <w:sz w:val="22"/>
      </w:rPr>
      <w:tcPr>
        <w:tcBorders>
          <w:top w:val="single" w:color="000000" w:themeColor="accent3" w:themeTint="98" w:sz="12" w:space="0"/>
        </w:tcBorders>
      </w:tcPr>
    </w:tblStylePr>
  </w:style>
  <w:style w:type="table" w:styleId="913">
    <w:name w:val="Bordered - Accent 4"/>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4" w:themeTint="9A" w:sz="12" w:space="0"/>
        </w:tcBorders>
      </w:tcPr>
    </w:tblStylePr>
    <w:tblStylePr w:type="lastCol">
      <w:rPr>
        <w:rFonts w:ascii="Arial" w:hAnsi="Arial"/>
        <w:color w:val="404040"/>
        <w:sz w:val="22"/>
      </w:rPr>
      <w:tcPr>
        <w:tcBorders>
          <w:left w:val="single" w:color="000000" w:themeColor="accent4" w:themeTint="9A" w:sz="12" w:space="0"/>
        </w:tcBorders>
      </w:tcPr>
    </w:tblStylePr>
    <w:tblStylePr w:type="lastRow">
      <w:rPr>
        <w:rFonts w:ascii="Arial" w:hAnsi="Arial"/>
        <w:color w:val="404040"/>
        <w:sz w:val="22"/>
      </w:rPr>
      <w:tcPr>
        <w:tcBorders>
          <w:top w:val="single" w:color="000000" w:themeColor="accent4" w:themeTint="9A" w:sz="12" w:space="0"/>
        </w:tcBorders>
      </w:tcPr>
    </w:tblStylePr>
  </w:style>
  <w:style w:type="table" w:styleId="914">
    <w:name w:val="Bordered - Accent 5"/>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5" w:themeTint="9A" w:sz="12" w:space="0"/>
        </w:tcBorders>
      </w:tcPr>
    </w:tblStylePr>
    <w:tblStylePr w:type="lastCol">
      <w:rPr>
        <w:rFonts w:ascii="Arial" w:hAnsi="Arial"/>
        <w:color w:val="404040"/>
        <w:sz w:val="22"/>
      </w:rPr>
      <w:tcPr>
        <w:tcBorders>
          <w:left w:val="single" w:color="000000" w:themeColor="accent5" w:themeTint="9A" w:sz="12" w:space="0"/>
        </w:tcBorders>
      </w:tcPr>
    </w:tblStylePr>
    <w:tblStylePr w:type="lastRow">
      <w:rPr>
        <w:rFonts w:ascii="Arial" w:hAnsi="Arial"/>
        <w:color w:val="404040"/>
        <w:sz w:val="22"/>
      </w:rPr>
      <w:tcPr>
        <w:tcBorders>
          <w:top w:val="single" w:color="000000" w:themeColor="accent5" w:themeTint="9A" w:sz="12" w:space="0"/>
        </w:tcBorders>
      </w:tcPr>
    </w:tblStylePr>
  </w:style>
  <w:style w:type="table" w:styleId="915">
    <w:name w:val="Bordered - Accent 6"/>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6" w:themeTint="98" w:sz="12" w:space="0"/>
        </w:tcBorders>
      </w:tcPr>
    </w:tblStylePr>
    <w:tblStylePr w:type="lastCol">
      <w:rPr>
        <w:rFonts w:ascii="Arial" w:hAnsi="Arial"/>
        <w:color w:val="404040"/>
        <w:sz w:val="22"/>
      </w:rPr>
      <w:tcPr>
        <w:tcBorders>
          <w:left w:val="single" w:color="000000" w:themeColor="accent6" w:themeTint="98" w:sz="12" w:space="0"/>
        </w:tcBorders>
      </w:tcPr>
    </w:tblStylePr>
    <w:tblStylePr w:type="lastRow">
      <w:rPr>
        <w:rFonts w:ascii="Arial" w:hAnsi="Arial"/>
        <w:color w:val="404040"/>
        <w:sz w:val="22"/>
      </w:rPr>
      <w:tcPr>
        <w:tcBorders>
          <w:top w:val="single" w:color="000000" w:themeColor="accent6" w:themeTint="98" w:sz="12" w:space="0"/>
        </w:tcBorders>
      </w:tcPr>
    </w:tblStylePr>
  </w:style>
  <w:style w:type="character" w:styleId="916">
    <w:name w:val="Hyperlink"/>
    <w:uiPriority w:val="99"/>
    <w:unhideWhenUsed/>
    <w:rPr>
      <w:color w:val="0000ff" w:themeColor="hyperlink"/>
      <w:u w:val="single"/>
    </w:rPr>
  </w:style>
  <w:style w:type="paragraph" w:styleId="917">
    <w:name w:val="footnote text"/>
    <w:basedOn w:val="934"/>
    <w:link w:val="918"/>
    <w:uiPriority w:val="99"/>
    <w:semiHidden/>
    <w:unhideWhenUsed/>
    <w:pPr>
      <w:spacing w:after="40" w:line="240" w:lineRule="auto"/>
    </w:pPr>
    <w:rPr>
      <w:sz w:val="18"/>
    </w:rPr>
  </w:style>
  <w:style w:type="character" w:styleId="918">
    <w:name w:val="Footnote Text Char"/>
    <w:link w:val="917"/>
    <w:uiPriority w:val="99"/>
    <w:rPr>
      <w:sz w:val="18"/>
    </w:rPr>
  </w:style>
  <w:style w:type="character" w:styleId="919">
    <w:name w:val="footnote reference"/>
    <w:uiPriority w:val="99"/>
    <w:unhideWhenUsed/>
    <w:rPr>
      <w:vertAlign w:val="superscript"/>
    </w:rPr>
  </w:style>
  <w:style w:type="paragraph" w:styleId="920">
    <w:name w:val="endnote text"/>
    <w:basedOn w:val="934"/>
    <w:link w:val="921"/>
    <w:uiPriority w:val="99"/>
    <w:semiHidden/>
    <w:unhideWhenUsed/>
    <w:pPr>
      <w:spacing w:after="0" w:line="240" w:lineRule="auto"/>
    </w:pPr>
    <w:rPr>
      <w:sz w:val="20"/>
    </w:rPr>
  </w:style>
  <w:style w:type="character" w:styleId="921">
    <w:name w:val="Endnote Text Char"/>
    <w:link w:val="920"/>
    <w:uiPriority w:val="99"/>
    <w:rPr>
      <w:sz w:val="20"/>
    </w:rPr>
  </w:style>
  <w:style w:type="character" w:styleId="922">
    <w:name w:val="endnote reference"/>
    <w:uiPriority w:val="99"/>
    <w:semiHidden/>
    <w:unhideWhenUsed/>
    <w:rPr>
      <w:vertAlign w:val="superscript"/>
    </w:rPr>
  </w:style>
  <w:style w:type="paragraph" w:styleId="923">
    <w:name w:val="toc 1"/>
    <w:basedOn w:val="934"/>
    <w:next w:val="934"/>
    <w:uiPriority w:val="39"/>
    <w:unhideWhenUsed/>
    <w:pPr>
      <w:ind w:left="0" w:right="0" w:firstLine="0"/>
      <w:spacing w:after="57"/>
    </w:pPr>
  </w:style>
  <w:style w:type="paragraph" w:styleId="924">
    <w:name w:val="toc 2"/>
    <w:basedOn w:val="934"/>
    <w:next w:val="934"/>
    <w:uiPriority w:val="39"/>
    <w:unhideWhenUsed/>
    <w:pPr>
      <w:ind w:left="283" w:right="0" w:firstLine="0"/>
      <w:spacing w:after="57"/>
    </w:pPr>
  </w:style>
  <w:style w:type="paragraph" w:styleId="925">
    <w:name w:val="toc 3"/>
    <w:basedOn w:val="934"/>
    <w:next w:val="934"/>
    <w:uiPriority w:val="39"/>
    <w:unhideWhenUsed/>
    <w:pPr>
      <w:ind w:left="567" w:right="0" w:firstLine="0"/>
      <w:spacing w:after="57"/>
    </w:pPr>
  </w:style>
  <w:style w:type="paragraph" w:styleId="926">
    <w:name w:val="toc 4"/>
    <w:basedOn w:val="934"/>
    <w:next w:val="934"/>
    <w:uiPriority w:val="39"/>
    <w:unhideWhenUsed/>
    <w:pPr>
      <w:ind w:left="850" w:right="0" w:firstLine="0"/>
      <w:spacing w:after="57"/>
    </w:pPr>
  </w:style>
  <w:style w:type="paragraph" w:styleId="927">
    <w:name w:val="toc 5"/>
    <w:basedOn w:val="934"/>
    <w:next w:val="934"/>
    <w:uiPriority w:val="39"/>
    <w:unhideWhenUsed/>
    <w:pPr>
      <w:ind w:left="1134" w:right="0" w:firstLine="0"/>
      <w:spacing w:after="57"/>
    </w:pPr>
  </w:style>
  <w:style w:type="paragraph" w:styleId="928">
    <w:name w:val="toc 6"/>
    <w:basedOn w:val="934"/>
    <w:next w:val="934"/>
    <w:uiPriority w:val="39"/>
    <w:unhideWhenUsed/>
    <w:pPr>
      <w:ind w:left="1417" w:right="0" w:firstLine="0"/>
      <w:spacing w:after="57"/>
    </w:pPr>
  </w:style>
  <w:style w:type="paragraph" w:styleId="929">
    <w:name w:val="toc 7"/>
    <w:basedOn w:val="934"/>
    <w:next w:val="934"/>
    <w:uiPriority w:val="39"/>
    <w:unhideWhenUsed/>
    <w:pPr>
      <w:ind w:left="1701" w:right="0" w:firstLine="0"/>
      <w:spacing w:after="57"/>
    </w:pPr>
  </w:style>
  <w:style w:type="paragraph" w:styleId="930">
    <w:name w:val="toc 8"/>
    <w:basedOn w:val="934"/>
    <w:next w:val="934"/>
    <w:uiPriority w:val="39"/>
    <w:unhideWhenUsed/>
    <w:pPr>
      <w:ind w:left="1984" w:right="0" w:firstLine="0"/>
      <w:spacing w:after="57"/>
    </w:pPr>
  </w:style>
  <w:style w:type="paragraph" w:styleId="931">
    <w:name w:val="toc 9"/>
    <w:basedOn w:val="934"/>
    <w:next w:val="934"/>
    <w:uiPriority w:val="39"/>
    <w:unhideWhenUsed/>
    <w:pPr>
      <w:ind w:left="2268" w:right="0" w:firstLine="0"/>
      <w:spacing w:after="57"/>
    </w:pPr>
  </w:style>
  <w:style w:type="paragraph" w:styleId="932">
    <w:name w:val="TOC Heading"/>
    <w:uiPriority w:val="39"/>
    <w:unhideWhenUsed/>
  </w:style>
  <w:style w:type="paragraph" w:styleId="933">
    <w:name w:val="table of figures"/>
    <w:basedOn w:val="934"/>
    <w:next w:val="934"/>
    <w:uiPriority w:val="99"/>
    <w:unhideWhenUsed/>
    <w:pPr>
      <w:spacing w:after="0" w:afterAutospacing="0"/>
    </w:pPr>
  </w:style>
  <w:style w:type="paragraph" w:styleId="934" w:default="1">
    <w:name w:val="Normal"/>
    <w:next w:val="934"/>
    <w:link w:val="934"/>
    <w:qFormat/>
    <w:rPr>
      <w:rFonts w:ascii="Times New Roman" w:hAnsi="Times New Roman" w:eastAsia="Times New Roman"/>
      <w:lang w:val="ru-RU" w:eastAsia="ru-RU" w:bidi="ar-SA"/>
    </w:rPr>
  </w:style>
  <w:style w:type="paragraph" w:styleId="935">
    <w:name w:val="Заголовок 1"/>
    <w:basedOn w:val="934"/>
    <w:next w:val="934"/>
    <w:link w:val="943"/>
    <w:qFormat/>
    <w:pPr>
      <w:keepNext/>
      <w:spacing w:before="240" w:after="60"/>
      <w:outlineLvl w:val="0"/>
    </w:pPr>
    <w:rPr>
      <w:rFonts w:ascii="Arial" w:hAnsi="Arial" w:cs="Arial"/>
      <w:b/>
      <w:bCs/>
      <w:sz w:val="32"/>
      <w:szCs w:val="32"/>
    </w:rPr>
  </w:style>
  <w:style w:type="paragraph" w:styleId="936">
    <w:name w:val="Заголовок 2"/>
    <w:basedOn w:val="934"/>
    <w:next w:val="934"/>
    <w:link w:val="944"/>
    <w:unhideWhenUsed/>
    <w:qFormat/>
    <w:pPr>
      <w:keepNext/>
      <w:spacing w:before="240" w:after="60"/>
      <w:outlineLvl w:val="1"/>
    </w:pPr>
    <w:rPr>
      <w:rFonts w:ascii="Arial" w:hAnsi="Arial" w:cs="Arial"/>
      <w:b/>
      <w:bCs/>
      <w:i/>
      <w:iCs/>
      <w:sz w:val="28"/>
      <w:szCs w:val="28"/>
    </w:rPr>
  </w:style>
  <w:style w:type="paragraph" w:styleId="937">
    <w:name w:val="Заголовок 3"/>
    <w:basedOn w:val="934"/>
    <w:next w:val="934"/>
    <w:link w:val="945"/>
    <w:semiHidden/>
    <w:unhideWhenUsed/>
    <w:qFormat/>
    <w:pPr>
      <w:keepNext/>
      <w:spacing w:before="240" w:after="60"/>
      <w:outlineLvl w:val="2"/>
    </w:pPr>
    <w:rPr>
      <w:rFonts w:ascii="Arial" w:hAnsi="Arial" w:cs="Arial"/>
      <w:b/>
      <w:bCs/>
      <w:sz w:val="26"/>
      <w:szCs w:val="26"/>
    </w:rPr>
  </w:style>
  <w:style w:type="paragraph" w:styleId="938">
    <w:name w:val="Заголовок 4"/>
    <w:basedOn w:val="934"/>
    <w:next w:val="934"/>
    <w:link w:val="946"/>
    <w:semiHidden/>
    <w:unhideWhenUsed/>
    <w:qFormat/>
    <w:pPr>
      <w:keepNext/>
      <w:spacing w:before="240" w:after="60"/>
      <w:outlineLvl w:val="3"/>
    </w:pPr>
    <w:rPr>
      <w:b/>
      <w:bCs/>
      <w:sz w:val="28"/>
      <w:szCs w:val="28"/>
    </w:rPr>
  </w:style>
  <w:style w:type="paragraph" w:styleId="939">
    <w:name w:val="Заголовок 5"/>
    <w:basedOn w:val="934"/>
    <w:next w:val="934"/>
    <w:link w:val="947"/>
    <w:semiHidden/>
    <w:unhideWhenUsed/>
    <w:qFormat/>
    <w:pPr>
      <w:spacing w:before="240" w:after="60"/>
      <w:outlineLvl w:val="4"/>
    </w:pPr>
    <w:rPr>
      <w:b/>
      <w:bCs/>
      <w:i/>
      <w:iCs/>
      <w:sz w:val="26"/>
      <w:szCs w:val="26"/>
    </w:rPr>
  </w:style>
  <w:style w:type="character" w:styleId="940">
    <w:name w:val="Основной шрифт абзаца"/>
    <w:next w:val="940"/>
    <w:link w:val="934"/>
    <w:uiPriority w:val="1"/>
    <w:unhideWhenUsed/>
  </w:style>
  <w:style w:type="table" w:styleId="941">
    <w:name w:val="Обычная таблица"/>
    <w:next w:val="941"/>
    <w:link w:val="934"/>
    <w:uiPriority w:val="99"/>
    <w:semiHidden/>
    <w:unhideWhenUsed/>
    <w:tblPr/>
  </w:style>
  <w:style w:type="numbering" w:styleId="942">
    <w:name w:val="Нет списка"/>
    <w:next w:val="942"/>
    <w:link w:val="934"/>
    <w:uiPriority w:val="99"/>
    <w:semiHidden/>
    <w:unhideWhenUsed/>
  </w:style>
  <w:style w:type="character" w:styleId="943">
    <w:name w:val="Заголовок 1 Знак"/>
    <w:next w:val="943"/>
    <w:link w:val="935"/>
    <w:rPr>
      <w:rFonts w:ascii="Arial" w:hAnsi="Arial" w:eastAsia="Times New Roman" w:cs="Arial"/>
      <w:b/>
      <w:bCs/>
      <w:sz w:val="32"/>
      <w:szCs w:val="32"/>
      <w:lang w:eastAsia="ru-RU"/>
    </w:rPr>
  </w:style>
  <w:style w:type="character" w:styleId="944">
    <w:name w:val="Заголовок 2 Знак"/>
    <w:next w:val="944"/>
    <w:link w:val="936"/>
    <w:rPr>
      <w:rFonts w:ascii="Arial" w:hAnsi="Arial" w:eastAsia="Times New Roman" w:cs="Arial"/>
      <w:b/>
      <w:bCs/>
      <w:i/>
      <w:iCs/>
      <w:sz w:val="28"/>
      <w:szCs w:val="28"/>
      <w:lang w:eastAsia="ru-RU"/>
    </w:rPr>
  </w:style>
  <w:style w:type="character" w:styleId="945">
    <w:name w:val="Заголовок 3 Знак"/>
    <w:next w:val="945"/>
    <w:link w:val="937"/>
    <w:semiHidden/>
    <w:rPr>
      <w:rFonts w:ascii="Arial" w:hAnsi="Arial" w:eastAsia="Times New Roman" w:cs="Arial"/>
      <w:b/>
      <w:bCs/>
      <w:sz w:val="26"/>
      <w:szCs w:val="26"/>
      <w:lang w:eastAsia="ru-RU"/>
    </w:rPr>
  </w:style>
  <w:style w:type="character" w:styleId="946">
    <w:name w:val="Заголовок 4 Знак"/>
    <w:next w:val="946"/>
    <w:link w:val="938"/>
    <w:semiHidden/>
    <w:rPr>
      <w:rFonts w:ascii="Times New Roman" w:hAnsi="Times New Roman" w:eastAsia="Times New Roman" w:cs="Times New Roman"/>
      <w:b/>
      <w:bCs/>
      <w:sz w:val="28"/>
      <w:szCs w:val="28"/>
      <w:lang w:eastAsia="ru-RU"/>
    </w:rPr>
  </w:style>
  <w:style w:type="character" w:styleId="947">
    <w:name w:val="Заголовок 5 Знак"/>
    <w:next w:val="947"/>
    <w:link w:val="939"/>
    <w:semiHidden/>
    <w:rPr>
      <w:rFonts w:ascii="Times New Roman" w:hAnsi="Times New Roman" w:eastAsia="Times New Roman" w:cs="Times New Roman"/>
      <w:b/>
      <w:bCs/>
      <w:i/>
      <w:iCs/>
      <w:sz w:val="26"/>
      <w:szCs w:val="26"/>
      <w:lang w:eastAsia="ru-RU"/>
    </w:rPr>
  </w:style>
  <w:style w:type="character" w:styleId="948">
    <w:name w:val="Гиперссылка"/>
    <w:next w:val="948"/>
    <w:link w:val="934"/>
    <w:semiHidden/>
    <w:unhideWhenUsed/>
    <w:rPr>
      <w:rFonts w:ascii="Times New Roman" w:hAnsi="Times New Roman" w:cs="Times New Roman"/>
      <w:b/>
      <w:bCs/>
      <w:color w:val="000080"/>
      <w:sz w:val="24"/>
      <w:szCs w:val="24"/>
      <w:u w:val="single"/>
    </w:rPr>
  </w:style>
  <w:style w:type="character" w:styleId="949">
    <w:name w:val="Просмотренная гиперссылка"/>
    <w:next w:val="949"/>
    <w:link w:val="934"/>
    <w:uiPriority w:val="99"/>
    <w:semiHidden/>
    <w:unhideWhenUsed/>
    <w:rPr>
      <w:color w:val="800080"/>
      <w:u w:val="single"/>
    </w:rPr>
  </w:style>
  <w:style w:type="paragraph" w:styleId="950">
    <w:name w:val="Обычный (веб)"/>
    <w:basedOn w:val="934"/>
    <w:next w:val="950"/>
    <w:link w:val="934"/>
    <w:uiPriority w:val="99"/>
    <w:semiHidden/>
    <w:unhideWhenUsed/>
    <w:pPr>
      <w:spacing w:before="75" w:after="75"/>
    </w:pPr>
    <w:rPr>
      <w:rFonts w:ascii="Tahoma" w:hAnsi="Tahoma" w:cs="Tahoma"/>
      <w:sz w:val="18"/>
      <w:szCs w:val="18"/>
    </w:rPr>
  </w:style>
  <w:style w:type="paragraph" w:styleId="951">
    <w:name w:val="Текст сноски"/>
    <w:basedOn w:val="934"/>
    <w:next w:val="951"/>
    <w:link w:val="952"/>
    <w:uiPriority w:val="99"/>
    <w:semiHidden/>
    <w:unhideWhenUsed/>
  </w:style>
  <w:style w:type="character" w:styleId="952">
    <w:name w:val="Текст сноски Знак"/>
    <w:next w:val="952"/>
    <w:link w:val="951"/>
    <w:uiPriority w:val="99"/>
    <w:semiHidden/>
    <w:rPr>
      <w:rFonts w:ascii="Times New Roman" w:hAnsi="Times New Roman" w:eastAsia="Times New Roman" w:cs="Times New Roman"/>
      <w:sz w:val="20"/>
      <w:szCs w:val="20"/>
      <w:lang w:eastAsia="ru-RU"/>
    </w:rPr>
  </w:style>
  <w:style w:type="paragraph" w:styleId="953">
    <w:name w:val="Текст примечания"/>
    <w:basedOn w:val="934"/>
    <w:next w:val="953"/>
    <w:link w:val="954"/>
    <w:uiPriority w:val="99"/>
    <w:semiHidden/>
    <w:unhideWhenUsed/>
  </w:style>
  <w:style w:type="character" w:styleId="954">
    <w:name w:val="Текст примечания Знак"/>
    <w:next w:val="954"/>
    <w:link w:val="953"/>
    <w:uiPriority w:val="99"/>
    <w:semiHidden/>
    <w:rPr>
      <w:rFonts w:ascii="Times New Roman" w:hAnsi="Times New Roman" w:eastAsia="Times New Roman" w:cs="Times New Roman"/>
      <w:sz w:val="20"/>
      <w:szCs w:val="20"/>
      <w:lang w:eastAsia="ru-RU"/>
    </w:rPr>
  </w:style>
  <w:style w:type="paragraph" w:styleId="955">
    <w:name w:val="Верхний колонтитул"/>
    <w:basedOn w:val="934"/>
    <w:next w:val="955"/>
    <w:link w:val="956"/>
    <w:uiPriority w:val="99"/>
    <w:unhideWhenUsed/>
    <w:pPr>
      <w:tabs>
        <w:tab w:val="center" w:pos="4677" w:leader="none"/>
        <w:tab w:val="right" w:pos="9355" w:leader="none"/>
      </w:tabs>
    </w:pPr>
  </w:style>
  <w:style w:type="character" w:styleId="956">
    <w:name w:val="Верхний колонтитул Знак"/>
    <w:next w:val="956"/>
    <w:link w:val="955"/>
    <w:uiPriority w:val="99"/>
    <w:rPr>
      <w:rFonts w:ascii="Times New Roman" w:hAnsi="Times New Roman" w:eastAsia="Times New Roman" w:cs="Times New Roman"/>
      <w:sz w:val="20"/>
      <w:szCs w:val="20"/>
      <w:lang w:eastAsia="ru-RU"/>
    </w:rPr>
  </w:style>
  <w:style w:type="paragraph" w:styleId="957">
    <w:name w:val="Нижний колонтитул"/>
    <w:basedOn w:val="934"/>
    <w:next w:val="957"/>
    <w:link w:val="958"/>
    <w:uiPriority w:val="99"/>
    <w:unhideWhenUsed/>
    <w:pPr>
      <w:tabs>
        <w:tab w:val="center" w:pos="4677" w:leader="none"/>
        <w:tab w:val="right" w:pos="9355" w:leader="none"/>
      </w:tabs>
    </w:pPr>
  </w:style>
  <w:style w:type="character" w:styleId="958">
    <w:name w:val="Нижний колонтитул Знак"/>
    <w:next w:val="958"/>
    <w:link w:val="957"/>
    <w:uiPriority w:val="99"/>
    <w:rPr>
      <w:rFonts w:ascii="Times New Roman" w:hAnsi="Times New Roman" w:eastAsia="Times New Roman" w:cs="Times New Roman"/>
      <w:sz w:val="20"/>
      <w:szCs w:val="20"/>
      <w:lang w:eastAsia="ru-RU"/>
    </w:rPr>
  </w:style>
  <w:style w:type="paragraph" w:styleId="959">
    <w:name w:val="Название"/>
    <w:basedOn w:val="934"/>
    <w:next w:val="959"/>
    <w:link w:val="960"/>
    <w:uiPriority w:val="99"/>
    <w:qFormat/>
    <w:pPr>
      <w:jc w:val="center"/>
    </w:pPr>
    <w:rPr>
      <w:b/>
      <w:sz w:val="25"/>
    </w:rPr>
  </w:style>
  <w:style w:type="character" w:styleId="960">
    <w:name w:val="Название Знак"/>
    <w:next w:val="960"/>
    <w:link w:val="959"/>
    <w:uiPriority w:val="99"/>
    <w:rPr>
      <w:rFonts w:ascii="Times New Roman" w:hAnsi="Times New Roman" w:eastAsia="Times New Roman" w:cs="Times New Roman"/>
      <w:b/>
      <w:sz w:val="25"/>
      <w:szCs w:val="20"/>
      <w:lang w:eastAsia="ru-RU"/>
    </w:rPr>
  </w:style>
  <w:style w:type="paragraph" w:styleId="961">
    <w:name w:val="Основной текст"/>
    <w:basedOn w:val="934"/>
    <w:next w:val="961"/>
    <w:link w:val="962"/>
    <w:unhideWhenUsed/>
    <w:pPr>
      <w:spacing w:after="120"/>
    </w:pPr>
  </w:style>
  <w:style w:type="character" w:styleId="962">
    <w:name w:val="Основной текст Знак"/>
    <w:next w:val="962"/>
    <w:link w:val="961"/>
    <w:rPr>
      <w:rFonts w:ascii="Times New Roman" w:hAnsi="Times New Roman" w:eastAsia="Times New Roman" w:cs="Times New Roman"/>
      <w:sz w:val="20"/>
      <w:szCs w:val="20"/>
      <w:lang w:eastAsia="ru-RU"/>
    </w:rPr>
  </w:style>
  <w:style w:type="paragraph" w:styleId="963">
    <w:name w:val="Основной текст с отступом"/>
    <w:basedOn w:val="934"/>
    <w:next w:val="963"/>
    <w:link w:val="964"/>
    <w:uiPriority w:val="99"/>
    <w:semiHidden/>
    <w:unhideWhenUsed/>
    <w:pPr>
      <w:ind w:left="283"/>
      <w:spacing w:after="120"/>
    </w:pPr>
  </w:style>
  <w:style w:type="character" w:styleId="964">
    <w:name w:val="Основной текст с отступом Знак"/>
    <w:next w:val="964"/>
    <w:link w:val="963"/>
    <w:uiPriority w:val="99"/>
    <w:semiHidden/>
    <w:rPr>
      <w:rFonts w:ascii="Times New Roman" w:hAnsi="Times New Roman" w:eastAsia="Times New Roman" w:cs="Times New Roman"/>
      <w:sz w:val="20"/>
      <w:szCs w:val="20"/>
      <w:lang w:eastAsia="ru-RU"/>
    </w:rPr>
  </w:style>
  <w:style w:type="paragraph" w:styleId="965">
    <w:name w:val="Подзаголовок"/>
    <w:basedOn w:val="934"/>
    <w:next w:val="965"/>
    <w:link w:val="966"/>
    <w:uiPriority w:val="99"/>
    <w:qFormat/>
    <w:rPr>
      <w:b/>
      <w:i/>
      <w:sz w:val="24"/>
    </w:rPr>
  </w:style>
  <w:style w:type="character" w:styleId="966">
    <w:name w:val="Подзаголовок Знак"/>
    <w:next w:val="966"/>
    <w:link w:val="965"/>
    <w:uiPriority w:val="99"/>
    <w:rPr>
      <w:rFonts w:ascii="Times New Roman" w:hAnsi="Times New Roman" w:eastAsia="Times New Roman" w:cs="Times New Roman"/>
      <w:b/>
      <w:i/>
      <w:sz w:val="24"/>
      <w:szCs w:val="20"/>
      <w:lang w:eastAsia="ru-RU"/>
    </w:rPr>
  </w:style>
  <w:style w:type="paragraph" w:styleId="967">
    <w:name w:val="Основной текст 2"/>
    <w:basedOn w:val="934"/>
    <w:next w:val="967"/>
    <w:link w:val="968"/>
    <w:uiPriority w:val="99"/>
    <w:semiHidden/>
    <w:unhideWhenUsed/>
    <w:pPr>
      <w:spacing w:after="120" w:line="480" w:lineRule="auto"/>
    </w:pPr>
  </w:style>
  <w:style w:type="character" w:styleId="968">
    <w:name w:val="Основной текст 2 Знак"/>
    <w:next w:val="968"/>
    <w:link w:val="967"/>
    <w:uiPriority w:val="99"/>
    <w:semiHidden/>
    <w:rPr>
      <w:rFonts w:ascii="Times New Roman" w:hAnsi="Times New Roman" w:eastAsia="Times New Roman" w:cs="Times New Roman"/>
      <w:sz w:val="20"/>
      <w:szCs w:val="20"/>
      <w:lang w:eastAsia="ru-RU"/>
    </w:rPr>
  </w:style>
  <w:style w:type="paragraph" w:styleId="969">
    <w:name w:val="Основной текст с отступом 2"/>
    <w:basedOn w:val="934"/>
    <w:next w:val="969"/>
    <w:link w:val="970"/>
    <w:uiPriority w:val="99"/>
    <w:semiHidden/>
    <w:unhideWhenUsed/>
    <w:pPr>
      <w:ind w:left="283"/>
      <w:spacing w:after="120" w:line="480" w:lineRule="auto"/>
    </w:pPr>
  </w:style>
  <w:style w:type="character" w:styleId="970">
    <w:name w:val="Основной текст с отступом 2 Знак"/>
    <w:next w:val="970"/>
    <w:link w:val="969"/>
    <w:uiPriority w:val="99"/>
    <w:semiHidden/>
    <w:rPr>
      <w:rFonts w:ascii="Times New Roman" w:hAnsi="Times New Roman" w:eastAsia="Times New Roman" w:cs="Times New Roman"/>
      <w:sz w:val="20"/>
      <w:szCs w:val="20"/>
      <w:lang w:eastAsia="ru-RU"/>
    </w:rPr>
  </w:style>
  <w:style w:type="paragraph" w:styleId="971">
    <w:name w:val="Основной текст с отступом 3"/>
    <w:basedOn w:val="934"/>
    <w:next w:val="971"/>
    <w:link w:val="972"/>
    <w:uiPriority w:val="99"/>
    <w:semiHidden/>
    <w:unhideWhenUsed/>
    <w:pPr>
      <w:ind w:left="283"/>
      <w:spacing w:after="120"/>
    </w:pPr>
    <w:rPr>
      <w:sz w:val="16"/>
      <w:szCs w:val="16"/>
    </w:rPr>
  </w:style>
  <w:style w:type="character" w:styleId="972">
    <w:name w:val="Основной текст с отступом 3 Знак"/>
    <w:next w:val="972"/>
    <w:link w:val="971"/>
    <w:uiPriority w:val="99"/>
    <w:semiHidden/>
    <w:rPr>
      <w:rFonts w:ascii="Times New Roman" w:hAnsi="Times New Roman" w:eastAsia="Times New Roman" w:cs="Times New Roman"/>
      <w:sz w:val="16"/>
      <w:szCs w:val="16"/>
    </w:rPr>
  </w:style>
  <w:style w:type="paragraph" w:styleId="973">
    <w:name w:val="Схема документа"/>
    <w:basedOn w:val="934"/>
    <w:next w:val="973"/>
    <w:link w:val="974"/>
    <w:uiPriority w:val="99"/>
    <w:semiHidden/>
    <w:unhideWhenUsed/>
    <w:pPr>
      <w:shd w:val="clear" w:color="auto" w:fill="000080"/>
    </w:pPr>
    <w:rPr>
      <w:rFonts w:ascii="Tahoma" w:hAnsi="Tahoma" w:cs="Tahoma"/>
    </w:rPr>
  </w:style>
  <w:style w:type="character" w:styleId="974">
    <w:name w:val="Схема документа Знак"/>
    <w:next w:val="974"/>
    <w:link w:val="973"/>
    <w:uiPriority w:val="99"/>
    <w:semiHidden/>
    <w:rPr>
      <w:rFonts w:ascii="Tahoma" w:hAnsi="Tahoma" w:eastAsia="Times New Roman" w:cs="Tahoma"/>
      <w:sz w:val="20"/>
      <w:szCs w:val="20"/>
      <w:shd w:val="clear" w:color="auto" w:fill="000080"/>
      <w:lang w:eastAsia="ru-RU"/>
    </w:rPr>
  </w:style>
  <w:style w:type="paragraph" w:styleId="975">
    <w:name w:val="Тема примечания"/>
    <w:basedOn w:val="953"/>
    <w:next w:val="953"/>
    <w:link w:val="976"/>
    <w:uiPriority w:val="99"/>
    <w:semiHidden/>
    <w:unhideWhenUsed/>
    <w:rPr>
      <w:b/>
      <w:bCs/>
    </w:rPr>
  </w:style>
  <w:style w:type="character" w:styleId="976">
    <w:name w:val="Тема примечания Знак"/>
    <w:next w:val="976"/>
    <w:link w:val="975"/>
    <w:uiPriority w:val="99"/>
    <w:semiHidden/>
    <w:rPr>
      <w:rFonts w:ascii="Times New Roman" w:hAnsi="Times New Roman" w:eastAsia="Times New Roman" w:cs="Times New Roman"/>
      <w:b/>
      <w:bCs/>
      <w:sz w:val="20"/>
      <w:szCs w:val="20"/>
      <w:lang w:eastAsia="ru-RU"/>
    </w:rPr>
  </w:style>
  <w:style w:type="paragraph" w:styleId="977">
    <w:name w:val="Текст выноски"/>
    <w:basedOn w:val="934"/>
    <w:next w:val="977"/>
    <w:link w:val="978"/>
    <w:uiPriority w:val="99"/>
    <w:semiHidden/>
    <w:unhideWhenUsed/>
    <w:rPr>
      <w:rFonts w:ascii="Tahoma" w:hAnsi="Tahoma" w:cs="Tahoma"/>
      <w:sz w:val="16"/>
      <w:szCs w:val="16"/>
    </w:rPr>
  </w:style>
  <w:style w:type="character" w:styleId="978">
    <w:name w:val="Текст выноски Знак"/>
    <w:next w:val="978"/>
    <w:link w:val="977"/>
    <w:uiPriority w:val="99"/>
    <w:semiHidden/>
    <w:rPr>
      <w:rFonts w:ascii="Tahoma" w:hAnsi="Tahoma" w:eastAsia="Times New Roman" w:cs="Tahoma"/>
      <w:sz w:val="16"/>
      <w:szCs w:val="16"/>
      <w:lang w:eastAsia="ru-RU"/>
    </w:rPr>
  </w:style>
  <w:style w:type="character" w:styleId="979">
    <w:name w:val="Без интервала Знак"/>
    <w:next w:val="979"/>
    <w:link w:val="980"/>
    <w:rPr>
      <w:rFonts w:ascii="Calibri" w:hAnsi="Calibri"/>
    </w:rPr>
  </w:style>
  <w:style w:type="paragraph" w:styleId="980">
    <w:name w:val="Без интервала"/>
    <w:next w:val="980"/>
    <w:link w:val="979"/>
    <w:qFormat/>
    <w:rPr>
      <w:sz w:val="22"/>
      <w:szCs w:val="22"/>
      <w:lang w:val="ru-RU" w:eastAsia="en-US" w:bidi="ar-SA"/>
    </w:rPr>
  </w:style>
  <w:style w:type="paragraph" w:styleId="981">
    <w:name w:val="Абзац списка"/>
    <w:basedOn w:val="934"/>
    <w:next w:val="981"/>
    <w:link w:val="1017"/>
    <w:uiPriority w:val="34"/>
    <w:qFormat/>
    <w:pPr>
      <w:contextualSpacing/>
      <w:ind w:left="720"/>
    </w:pPr>
  </w:style>
  <w:style w:type="paragraph" w:styleId="982">
    <w:name w:val="ConsPlusNormal"/>
    <w:next w:val="982"/>
    <w:link w:val="934"/>
    <w:pPr>
      <w:ind w:firstLine="720"/>
      <w:widowControl w:val="off"/>
    </w:pPr>
    <w:rPr>
      <w:rFonts w:ascii="Arial" w:hAnsi="Arial" w:eastAsia="Times New Roman" w:cs="Arial"/>
      <w:lang w:val="ru-RU" w:eastAsia="ru-RU" w:bidi="ar-SA"/>
    </w:rPr>
  </w:style>
  <w:style w:type="paragraph" w:styleId="983">
    <w:name w:val="Осн.Текст"/>
    <w:basedOn w:val="934"/>
    <w:next w:val="983"/>
    <w:link w:val="934"/>
    <w:pPr>
      <w:ind w:firstLine="720"/>
      <w:jc w:val="both"/>
      <w:spacing w:line="276" w:lineRule="auto"/>
    </w:pPr>
    <w:rPr>
      <w:sz w:val="24"/>
      <w:szCs w:val="24"/>
    </w:rPr>
  </w:style>
  <w:style w:type="paragraph" w:styleId="984">
    <w:name w:val="Обычный (веб)1"/>
    <w:basedOn w:val="934"/>
    <w:next w:val="984"/>
    <w:link w:val="934"/>
    <w:uiPriority w:val="99"/>
    <w:pPr>
      <w:jc w:val="both"/>
      <w:spacing w:before="100" w:beforeAutospacing="1" w:after="100" w:afterAutospacing="1"/>
    </w:pPr>
    <w:rPr>
      <w:sz w:val="24"/>
      <w:szCs w:val="24"/>
    </w:rPr>
  </w:style>
  <w:style w:type="paragraph" w:styleId="985">
    <w:name w:val="Знак"/>
    <w:basedOn w:val="934"/>
    <w:next w:val="985"/>
    <w:link w:val="934"/>
    <w:uiPriority w:val="99"/>
    <w:pPr>
      <w:spacing w:before="100" w:beforeAutospacing="1" w:after="100" w:afterAutospacing="1"/>
    </w:pPr>
    <w:rPr>
      <w:rFonts w:ascii="Tahoma" w:hAnsi="Tahoma" w:cs="Tahoma"/>
      <w:lang w:val="en-US" w:eastAsia="en-US"/>
    </w:rPr>
  </w:style>
  <w:style w:type="paragraph" w:styleId="986">
    <w:name w:val="Знак1 Знак Знак Знак1 Знак Знак"/>
    <w:basedOn w:val="934"/>
    <w:next w:val="986"/>
    <w:link w:val="934"/>
    <w:uiPriority w:val="99"/>
    <w:pPr>
      <w:spacing w:before="100" w:beforeAutospacing="1" w:after="100" w:afterAutospacing="1"/>
    </w:pPr>
    <w:rPr>
      <w:rFonts w:ascii="Tahoma" w:hAnsi="Tahoma"/>
      <w:lang w:val="en-US" w:eastAsia="en-US"/>
    </w:rPr>
  </w:style>
  <w:style w:type="paragraph" w:styleId="987">
    <w:name w:val="Знак Знак Знак Знак Знак Знак Знак Знак Знак Знак Знак Знак Знак Знак Знак"/>
    <w:basedOn w:val="934"/>
    <w:next w:val="987"/>
    <w:link w:val="934"/>
    <w:uiPriority w:val="99"/>
    <w:pPr>
      <w:spacing w:before="100" w:beforeAutospacing="1" w:after="100" w:afterAutospacing="1"/>
    </w:pPr>
    <w:rPr>
      <w:rFonts w:ascii="Tahoma" w:hAnsi="Tahoma"/>
      <w:lang w:val="en-US" w:eastAsia="en-US"/>
    </w:rPr>
  </w:style>
  <w:style w:type="paragraph" w:styleId="988">
    <w:name w:val="Знак1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w:basedOn w:val="934"/>
    <w:next w:val="988"/>
    <w:link w:val="934"/>
    <w:uiPriority w:val="99"/>
    <w:pPr>
      <w:spacing w:before="100" w:beforeAutospacing="1" w:after="100" w:afterAutospacing="1"/>
    </w:pPr>
    <w:rPr>
      <w:rFonts w:ascii="Tahoma" w:hAnsi="Tahoma"/>
      <w:lang w:val="en-US" w:eastAsia="en-US"/>
    </w:rPr>
  </w:style>
  <w:style w:type="paragraph" w:styleId="989">
    <w:name w:val="Знак Знак Знак Знак Знак Знак Знак Знак Знак Знак Знак Знак Знак Знак Знак Знак Знак Знак"/>
    <w:basedOn w:val="934"/>
    <w:next w:val="989"/>
    <w:link w:val="934"/>
    <w:uiPriority w:val="99"/>
    <w:pPr>
      <w:spacing w:before="100" w:beforeAutospacing="1" w:after="100" w:afterAutospacing="1"/>
    </w:pPr>
    <w:rPr>
      <w:rFonts w:ascii="Tahoma" w:hAnsi="Tahoma"/>
      <w:lang w:val="en-US" w:eastAsia="en-US"/>
    </w:rPr>
  </w:style>
  <w:style w:type="paragraph" w:styleId="990">
    <w:name w:val="Знак1 Знак Знак Знак Знак Знак1 Знак Знак Знак Знак Знак Знак"/>
    <w:basedOn w:val="934"/>
    <w:next w:val="990"/>
    <w:link w:val="934"/>
    <w:uiPriority w:val="99"/>
    <w:pPr>
      <w:spacing w:before="100" w:beforeAutospacing="1" w:after="100" w:afterAutospacing="1"/>
    </w:pPr>
    <w:rPr>
      <w:rFonts w:ascii="Tahoma" w:hAnsi="Tahoma"/>
      <w:lang w:val="en-US" w:eastAsia="en-US"/>
    </w:rPr>
  </w:style>
  <w:style w:type="paragraph" w:styleId="991">
    <w:name w:val="Знак1 Знак Знак Знак Знак Знак Знак Знак Знак Знак Знак Знак Знак Знак Знак Знак Знак Знак"/>
    <w:basedOn w:val="934"/>
    <w:next w:val="991"/>
    <w:link w:val="934"/>
    <w:uiPriority w:val="99"/>
    <w:pPr>
      <w:spacing w:after="160" w:line="240" w:lineRule="exact"/>
    </w:pPr>
    <w:rPr>
      <w:rFonts w:ascii="Verdana" w:hAnsi="Verdana"/>
      <w:lang w:val="en-US" w:eastAsia="en-US"/>
    </w:rPr>
  </w:style>
  <w:style w:type="paragraph" w:styleId="992">
    <w:name w:val="Знак Знак Знак Знак Знак Знак Знак"/>
    <w:basedOn w:val="934"/>
    <w:next w:val="992"/>
    <w:link w:val="934"/>
    <w:uiPriority w:val="99"/>
    <w:pPr>
      <w:spacing w:after="160" w:line="240" w:lineRule="exact"/>
    </w:pPr>
    <w:rPr>
      <w:rFonts w:ascii="Verdana" w:hAnsi="Verdana"/>
      <w:lang w:val="en-US" w:eastAsia="en-US"/>
    </w:rPr>
  </w:style>
  <w:style w:type="paragraph" w:styleId="993">
    <w:name w:val="Знак1 Знак Знак Знак1"/>
    <w:basedOn w:val="934"/>
    <w:next w:val="993"/>
    <w:link w:val="934"/>
    <w:uiPriority w:val="99"/>
    <w:pPr>
      <w:spacing w:before="100" w:beforeAutospacing="1" w:after="100" w:afterAutospacing="1"/>
    </w:pPr>
    <w:rPr>
      <w:rFonts w:ascii="Tahoma" w:hAnsi="Tahoma"/>
      <w:lang w:val="en-US" w:eastAsia="en-US"/>
    </w:rPr>
  </w:style>
  <w:style w:type="paragraph" w:styleId="994">
    <w:name w:val="Знак1 Знак Знак Знак Знак Знак Знак Знак Знак Знак Знак Знак Знак Знак Знак Знак Знак Знак Знак Знак Знак Знак Знак Знак Знак"/>
    <w:basedOn w:val="934"/>
    <w:next w:val="994"/>
    <w:link w:val="934"/>
    <w:uiPriority w:val="99"/>
    <w:pPr>
      <w:spacing w:after="160" w:line="240" w:lineRule="exact"/>
    </w:pPr>
    <w:rPr>
      <w:rFonts w:ascii="Verdana" w:hAnsi="Verdana"/>
      <w:lang w:val="en-US" w:eastAsia="en-US"/>
    </w:rPr>
  </w:style>
  <w:style w:type="paragraph" w:styleId="995">
    <w:name w:val="Знак1 Знак Знак Знак Знак Знак1 Знак Знак Знак Знак"/>
    <w:basedOn w:val="934"/>
    <w:next w:val="995"/>
    <w:link w:val="934"/>
    <w:uiPriority w:val="99"/>
    <w:pPr>
      <w:spacing w:before="100" w:beforeAutospacing="1" w:after="100" w:afterAutospacing="1"/>
    </w:pPr>
    <w:rPr>
      <w:rFonts w:ascii="Tahoma" w:hAnsi="Tahoma"/>
      <w:lang w:val="en-US" w:eastAsia="en-US"/>
    </w:rPr>
  </w:style>
  <w:style w:type="paragraph" w:styleId="996">
    <w:name w:val="Знак1 Знак Знак Знак Знак Знак Знак Знак Знак1 Char"/>
    <w:basedOn w:val="934"/>
    <w:next w:val="996"/>
    <w:link w:val="934"/>
    <w:uiPriority w:val="99"/>
    <w:pPr>
      <w:spacing w:after="160" w:line="240" w:lineRule="exact"/>
    </w:pPr>
    <w:rPr>
      <w:rFonts w:ascii="Verdana" w:hAnsi="Verdana"/>
      <w:lang w:val="en-US" w:eastAsia="en-US"/>
    </w:rPr>
  </w:style>
  <w:style w:type="paragraph" w:styleId="997">
    <w:name w:val="Знак Знак Знак"/>
    <w:basedOn w:val="934"/>
    <w:next w:val="997"/>
    <w:link w:val="934"/>
    <w:uiPriority w:val="99"/>
    <w:pPr>
      <w:spacing w:after="160" w:line="240" w:lineRule="exact"/>
    </w:pPr>
    <w:rPr>
      <w:rFonts w:ascii="Verdana" w:hAnsi="Verdana"/>
      <w:lang w:val="en-US" w:eastAsia="en-US"/>
    </w:rPr>
  </w:style>
  <w:style w:type="paragraph" w:styleId="998">
    <w:name w:val="ConsPlusTitle"/>
    <w:next w:val="998"/>
    <w:link w:val="934"/>
    <w:uiPriority w:val="99"/>
    <w:rPr>
      <w:rFonts w:ascii="Times New Roman" w:hAnsi="Times New Roman" w:eastAsia="Times New Roman"/>
      <w:b/>
      <w:bCs/>
      <w:sz w:val="24"/>
      <w:szCs w:val="24"/>
      <w:lang w:val="ru-RU" w:eastAsia="ru-RU" w:bidi="ar-SA"/>
    </w:rPr>
  </w:style>
  <w:style w:type="paragraph" w:styleId="999">
    <w:name w:val="Знак Знак Знак Знак Знак1 Знак"/>
    <w:basedOn w:val="934"/>
    <w:next w:val="999"/>
    <w:link w:val="934"/>
    <w:uiPriority w:val="99"/>
    <w:pPr>
      <w:spacing w:after="160" w:line="240" w:lineRule="exact"/>
    </w:pPr>
    <w:rPr>
      <w:rFonts w:ascii="Verdana" w:hAnsi="Verdana"/>
      <w:lang w:val="en-US" w:eastAsia="en-US"/>
    </w:rPr>
  </w:style>
  <w:style w:type="paragraph" w:styleId="1000">
    <w:name w:val="Знак1"/>
    <w:basedOn w:val="934"/>
    <w:next w:val="1000"/>
    <w:link w:val="934"/>
    <w:uiPriority w:val="99"/>
    <w:pPr>
      <w:spacing w:after="160" w:line="240" w:lineRule="exact"/>
    </w:pPr>
    <w:rPr>
      <w:rFonts w:ascii="Verdana" w:hAnsi="Verdana"/>
      <w:lang w:val="en-US" w:eastAsia="en-US"/>
    </w:rPr>
  </w:style>
  <w:style w:type="paragraph" w:styleId="1001">
    <w:name w:val="Знак1 Знак Знак Знак Знак Знак1 Знак Знак Знак Знак Знак Знак Знак Знак Знак Знак Знак Знак Знак Знак Знак Знак Знак Знак Знак Знак Знак Знак Знак Знак Знак"/>
    <w:basedOn w:val="934"/>
    <w:next w:val="1001"/>
    <w:link w:val="934"/>
    <w:uiPriority w:val="99"/>
    <w:pPr>
      <w:spacing w:after="160" w:line="240" w:lineRule="exact"/>
    </w:pPr>
    <w:rPr>
      <w:rFonts w:ascii="Verdana" w:hAnsi="Verdana"/>
      <w:lang w:val="en-US" w:eastAsia="en-US"/>
    </w:rPr>
  </w:style>
  <w:style w:type="paragraph" w:styleId="1002">
    <w:name w:val="Style9"/>
    <w:basedOn w:val="934"/>
    <w:next w:val="1002"/>
    <w:link w:val="934"/>
    <w:uiPriority w:val="99"/>
    <w:pPr>
      <w:ind w:firstLine="716"/>
      <w:jc w:val="both"/>
      <w:spacing w:line="286" w:lineRule="exact"/>
      <w:widowControl w:val="off"/>
    </w:pPr>
    <w:rPr>
      <w:sz w:val="24"/>
      <w:szCs w:val="24"/>
    </w:rPr>
  </w:style>
  <w:style w:type="paragraph" w:styleId="1003">
    <w:name w:val="ConsPlusCell"/>
    <w:next w:val="1003"/>
    <w:link w:val="934"/>
    <w:uiPriority w:val="99"/>
    <w:pPr>
      <w:widowControl w:val="off"/>
    </w:pPr>
    <w:rPr>
      <w:rFonts w:ascii="Arial" w:hAnsi="Arial" w:eastAsia="Times New Roman" w:cs="Arial"/>
      <w:lang w:val="ru-RU" w:eastAsia="ru-RU" w:bidi="ar-SA"/>
    </w:rPr>
  </w:style>
  <w:style w:type="paragraph" w:styleId="1004">
    <w:name w:val="параграф"/>
    <w:basedOn w:val="934"/>
    <w:next w:val="1004"/>
    <w:link w:val="934"/>
    <w:uiPriority w:val="99"/>
    <w:qFormat/>
    <w:pPr>
      <w:jc w:val="both"/>
    </w:pPr>
    <w:rPr>
      <w:b/>
      <w:sz w:val="24"/>
      <w:szCs w:val="24"/>
    </w:rPr>
  </w:style>
  <w:style w:type="character" w:styleId="1005">
    <w:name w:val="Знак сноски"/>
    <w:next w:val="1005"/>
    <w:link w:val="934"/>
    <w:semiHidden/>
    <w:unhideWhenUsed/>
    <w:rPr>
      <w:vertAlign w:val="superscript"/>
    </w:rPr>
  </w:style>
  <w:style w:type="character" w:styleId="1006">
    <w:name w:val="Знак примечания"/>
    <w:next w:val="1006"/>
    <w:link w:val="934"/>
    <w:semiHidden/>
    <w:unhideWhenUsed/>
    <w:rPr>
      <w:sz w:val="16"/>
      <w:szCs w:val="16"/>
    </w:rPr>
  </w:style>
  <w:style w:type="character" w:styleId="1007">
    <w:name w:val="Font Style33"/>
    <w:next w:val="1007"/>
    <w:link w:val="934"/>
    <w:rPr>
      <w:rFonts w:ascii="Times New Roman" w:hAnsi="Times New Roman" w:cs="Times New Roman"/>
      <w:sz w:val="22"/>
      <w:szCs w:val="22"/>
    </w:rPr>
  </w:style>
  <w:style w:type="character" w:styleId="1008">
    <w:name w:val="Основной текст1"/>
    <w:next w:val="1008"/>
    <w:link w:val="934"/>
    <w:rPr>
      <w:color w:val="000000"/>
      <w:spacing w:val="0"/>
      <w:position w:val="0"/>
      <w:shd w:val="clear" w:color="auto" w:fill="ffffff"/>
      <w:lang w:val="ru-RU"/>
    </w:rPr>
  </w:style>
  <w:style w:type="character" w:styleId="1009">
    <w:name w:val="Основной текст + Полужирный"/>
    <w:next w:val="1009"/>
    <w:link w:val="934"/>
    <w:rPr>
      <w:b/>
      <w:bCs/>
      <w:color w:val="000000"/>
      <w:spacing w:val="0"/>
      <w:position w:val="0"/>
      <w:shd w:val="clear" w:color="auto" w:fill="ffffff"/>
      <w:lang w:val="ru-RU"/>
    </w:rPr>
  </w:style>
  <w:style w:type="table" w:styleId="1010">
    <w:name w:val="Сетка таблицы"/>
    <w:basedOn w:val="941"/>
    <w:next w:val="1010"/>
    <w:link w:val="934"/>
    <w:uiPriority w:val="59"/>
    <w:pPr>
      <w:spacing w:after="0" w:line="240" w:lineRule="auto"/>
    </w:pPr>
    <w:rPr>
      <w:rFonts w:ascii="Times New Roman" w:hAnsi="Times New Roman" w:eastAsia="Times New Roman" w:cs="Times New Roman"/>
      <w:sz w:val="20"/>
      <w:szCs w:val="20"/>
    </w:rPr>
    <w:tblPr/>
  </w:style>
  <w:style w:type="paragraph" w:styleId="1011">
    <w:name w:val="Знак1 Знак Знак Знак Знак Знак Знак Знак Знак Знак Знак Знак Знак Знак Знак Знак Знак Знак Знак Знак Знак Знак Знак Знак Знак Знак Знак Знак"/>
    <w:basedOn w:val="934"/>
    <w:next w:val="1011"/>
    <w:link w:val="934"/>
    <w:pPr>
      <w:spacing w:after="160" w:line="240" w:lineRule="exact"/>
    </w:pPr>
    <w:rPr>
      <w:rFonts w:ascii="Verdana" w:hAnsi="Verdana"/>
      <w:lang w:val="en-US" w:eastAsia="en-US"/>
    </w:rPr>
  </w:style>
  <w:style w:type="character" w:styleId="1012">
    <w:name w:val="Font Style35"/>
    <w:next w:val="1012"/>
    <w:link w:val="934"/>
    <w:rPr>
      <w:rFonts w:ascii="Times New Roman" w:hAnsi="Times New Roman" w:cs="Times New Roman"/>
      <w:sz w:val="22"/>
      <w:szCs w:val="22"/>
    </w:rPr>
  </w:style>
  <w:style w:type="paragraph" w:styleId="1013">
    <w:name w:val=" Знак1 Знак Знак Знак Знак Знак Знак Знак Знак Знак Знак Знак Знак Знак Знак Знак Знак Знак Знак Знак Знак Знак Знак Знак Знак Знак Знак Знак"/>
    <w:basedOn w:val="934"/>
    <w:next w:val="1013"/>
    <w:link w:val="934"/>
    <w:pPr>
      <w:spacing w:after="160" w:line="240" w:lineRule="exact"/>
    </w:pPr>
    <w:rPr>
      <w:rFonts w:ascii="Verdana" w:hAnsi="Verdana"/>
      <w:lang w:val="en-US" w:eastAsia="en-US"/>
    </w:rPr>
  </w:style>
  <w:style w:type="paragraph" w:styleId="1014">
    <w:name w:val="Абзац списка1"/>
    <w:basedOn w:val="934"/>
    <w:next w:val="1014"/>
    <w:link w:val="934"/>
    <w:pPr>
      <w:ind w:left="720"/>
    </w:pPr>
  </w:style>
  <w:style w:type="character" w:styleId="1015">
    <w:name w:val="Строгий"/>
    <w:next w:val="1015"/>
    <w:link w:val="934"/>
    <w:uiPriority w:val="22"/>
    <w:qFormat/>
    <w:rPr>
      <w:b/>
      <w:bCs/>
    </w:rPr>
  </w:style>
  <w:style w:type="paragraph" w:styleId="1016">
    <w:name w:val="Default"/>
    <w:next w:val="1016"/>
    <w:link w:val="934"/>
    <w:rPr>
      <w:rFonts w:ascii="Times New Roman" w:hAnsi="Times New Roman"/>
      <w:color w:val="000000"/>
      <w:sz w:val="24"/>
      <w:szCs w:val="24"/>
      <w:lang w:val="ru-RU" w:eastAsia="en-US" w:bidi="ar-SA"/>
    </w:rPr>
  </w:style>
  <w:style w:type="character" w:styleId="1017">
    <w:name w:val="Абзац списка Знак"/>
    <w:next w:val="1017"/>
    <w:link w:val="981"/>
    <w:uiPriority w:val="34"/>
    <w:rPr>
      <w:rFonts w:ascii="Times New Roman" w:hAnsi="Times New Roman" w:eastAsia="Times New Roman"/>
    </w:rPr>
  </w:style>
  <w:style w:type="character" w:styleId="1018" w:default="1">
    <w:name w:val="Default Paragraph Font"/>
    <w:uiPriority w:val="1"/>
    <w:semiHidden/>
    <w:unhideWhenUsed/>
  </w:style>
  <w:style w:type="numbering" w:styleId="1019" w:default="1">
    <w:name w:val="No List"/>
    <w:uiPriority w:val="99"/>
    <w:semiHidden/>
    <w:unhideWhenUsed/>
  </w:style>
  <w:style w:type="table" w:styleId="1020" w:default="1">
    <w:name w:val="Normal Table"/>
    <w:uiPriority w:val="99"/>
    <w:semiHidden/>
    <w:unhideWhenUsed/>
    <w:tbl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s>
</file>

<file path=word/_rels/endnotes.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nam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theme>
</file>

<file path=docProps/app.xml><?xml version="1.0" encoding="utf-8"?>
<Properties xmlns="http://schemas.openxmlformats.org/officeDocument/2006/extended-properties" xmlns:vt="http://schemas.openxmlformats.org/officeDocument/2006/docPropsVTypes">
  <Application>Р7-Офис/2024.4.2.721</Application>
  <Company>RePack by SPecialiST</Company>
  <DocSecurity>0</DocSecurity>
  <HyperlinksChanged>false</HyperlinksChanged>
  <ScaleCrop>false</ScaleCrop>
  <SharedDoc>false</SharedDoc>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Плетнёва Татьяна Васильевна</dc:creator>
  <cp:lastModifiedBy>KrutovskayaOS</cp:lastModifiedBy>
  <cp:revision>5</cp:revision>
  <dcterms:created xsi:type="dcterms:W3CDTF">2025-03-11T06:32:00Z</dcterms:created>
  <dcterms:modified xsi:type="dcterms:W3CDTF">2025-03-24T04:11:53Z</dcterms:modified>
  <cp:version>1048576</cp:version>
</cp:coreProperties>
</file>